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docProps/core.xml" ContentType="application/vnd.openxmlformats-package.core-properties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word/document.xml" Id="rId3" /><Relationship Type="http://schemas.openxmlformats.org/package/2006/relationships/metadata/core-properties" Target="docProps/core.xml" Id="rId2" /><Relationship Type="http://schemas.openxmlformats.org/officeDocument/2006/relationships/extended-properties" Target="docProps/app.xml" Id="rId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107"/>
        <w:rPr>
          <w:sz w:val="20"/>
        </w:rPr>
      </w:pPr>
      <w:r>
        <w:rPr>
          <w:sz w:val="20"/>
        </w:rPr>
        <w:pict>
          <v:group style="width:537.2pt;height:93.5pt;mso-position-horizontal-relative:char;mso-position-vertical-relative:line" id="docshapegroup2" coordorigin="0,0" coordsize="10744,1870">
            <v:shape style="position:absolute;left:0;top:0;width:10744;height:1870" type="#_x0000_t75" id="docshape3" stroked="false">
              <v:imagedata r:id="rId6" o:title=""/>
            </v:shape>
            <v:shape style="position:absolute;left:7723;top:289;width:2549;height:518" type="#_x0000_t75" id="docshape4" stroked="false">
              <v:imagedata r:id="rId7" o:title=""/>
            </v:shape>
            <v:shape style="position:absolute;left:0;top:0;width:10744;height:1870" type="#_x0000_t202" id="docshape5" filled="false" stroked="false">
              <v:textbox inset="0,0,0,0">
                <w:txbxContent>
                  <w:p>
                    <w:pPr>
                      <w:spacing w:line="240" w:lineRule="auto" w:before="8"/>
                      <w:rPr>
                        <w:sz w:val="24"/>
                      </w:rPr>
                    </w:pPr>
                  </w:p>
                  <w:p>
                    <w:pPr>
                      <w:spacing w:before="0"/>
                      <w:ind w:left="565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bookmarkStart w:name="Terapigrupp Allergi-Andning-ÖNH – Terapi" w:id="1"/>
                    <w:bookmarkEnd w:id="1"/>
                    <w:r>
                      <w:rPr/>
                    </w:r>
                    <w:r>
                      <w:rPr>
                        <w:rFonts w:ascii="Arial" w:hAnsi="Arial"/>
                        <w:b/>
                        <w:color w:val="FFFFFF"/>
                        <w:sz w:val="20"/>
                      </w:rPr>
                      <w:t>Terapigrupp</w:t>
                    </w:r>
                    <w:r>
                      <w:rPr>
                        <w:rFonts w:ascii="Arial" w:hAnsi="Arial"/>
                        <w:b/>
                        <w:color w:val="FFFFFF"/>
                        <w:spacing w:val="107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color w:val="FFFFFF"/>
                        <w:sz w:val="20"/>
                      </w:rPr>
                      <w:t>Allergi-Andning-ÖNH</w:t>
                    </w:r>
                    <w:r>
                      <w:rPr>
                        <w:rFonts w:ascii="Arial" w:hAnsi="Arial"/>
                        <w:b/>
                        <w:color w:val="FFFFFF"/>
                        <w:spacing w:val="108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color w:val="FFFFFF"/>
                        <w:sz w:val="20"/>
                      </w:rPr>
                      <w:t>–</w:t>
                    </w:r>
                    <w:r>
                      <w:rPr>
                        <w:rFonts w:ascii="Arial" w:hAnsi="Arial"/>
                        <w:b/>
                        <w:color w:val="FFFFFF"/>
                        <w:spacing w:val="102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color w:val="FFFFFF"/>
                        <w:spacing w:val="10"/>
                        <w:sz w:val="20"/>
                      </w:rPr>
                      <w:t>Terapiråd</w:t>
                    </w:r>
                  </w:p>
                  <w:p>
                    <w:pPr>
                      <w:spacing w:line="240" w:lineRule="auto" w:before="5"/>
                      <w:rPr>
                        <w:rFonts w:ascii="Arial"/>
                        <w:b/>
                        <w:sz w:val="17"/>
                      </w:rPr>
                    </w:pPr>
                  </w:p>
                  <w:p>
                    <w:pPr>
                      <w:spacing w:before="1"/>
                      <w:ind w:left="565" w:right="0" w:firstLine="0"/>
                      <w:jc w:val="left"/>
                      <w:rPr>
                        <w:rFonts w:ascii="Arial" w:hAnsi="Arial"/>
                        <w:sz w:val="36"/>
                      </w:rPr>
                    </w:pPr>
                    <w:bookmarkStart w:name="Handläggning och provokation vid misstän" w:id="2"/>
                    <w:bookmarkEnd w:id="2"/>
                    <w:r>
                      <w:rPr/>
                    </w:r>
                    <w:r>
                      <w:rPr>
                        <w:rFonts w:ascii="Arial" w:hAnsi="Arial"/>
                        <w:color w:val="FFFFFF"/>
                        <w:sz w:val="36"/>
                      </w:rPr>
                      <w:t>Handläggning</w:t>
                    </w:r>
                    <w:r>
                      <w:rPr>
                        <w:rFonts w:ascii="Arial" w:hAnsi="Arial"/>
                        <w:color w:val="FFFFFF"/>
                        <w:spacing w:val="-4"/>
                        <w:sz w:val="36"/>
                      </w:rPr>
                      <w:t> </w:t>
                    </w:r>
                    <w:r>
                      <w:rPr>
                        <w:rFonts w:ascii="Arial" w:hAnsi="Arial"/>
                        <w:color w:val="FFFFFF"/>
                        <w:sz w:val="36"/>
                      </w:rPr>
                      <w:t>och</w:t>
                    </w:r>
                    <w:r>
                      <w:rPr>
                        <w:rFonts w:ascii="Arial" w:hAnsi="Arial"/>
                        <w:color w:val="FFFFFF"/>
                        <w:spacing w:val="-7"/>
                        <w:sz w:val="36"/>
                      </w:rPr>
                      <w:t> </w:t>
                    </w:r>
                    <w:r>
                      <w:rPr>
                        <w:rFonts w:ascii="Arial" w:hAnsi="Arial"/>
                        <w:color w:val="FFFFFF"/>
                        <w:sz w:val="36"/>
                      </w:rPr>
                      <w:t>provokation</w:t>
                    </w:r>
                    <w:r>
                      <w:rPr>
                        <w:rFonts w:ascii="Arial" w:hAnsi="Arial"/>
                        <w:color w:val="FFFFFF"/>
                        <w:spacing w:val="-6"/>
                        <w:sz w:val="36"/>
                      </w:rPr>
                      <w:t> </w:t>
                    </w:r>
                    <w:r>
                      <w:rPr>
                        <w:rFonts w:ascii="Arial" w:hAnsi="Arial"/>
                        <w:color w:val="FFFFFF"/>
                        <w:sz w:val="36"/>
                      </w:rPr>
                      <w:t>vid</w:t>
                    </w:r>
                    <w:r>
                      <w:rPr>
                        <w:rFonts w:ascii="Arial" w:hAnsi="Arial"/>
                        <w:color w:val="FFFFFF"/>
                        <w:spacing w:val="-6"/>
                        <w:sz w:val="36"/>
                      </w:rPr>
                      <w:t> </w:t>
                    </w:r>
                    <w:r>
                      <w:rPr>
                        <w:rFonts w:ascii="Arial" w:hAnsi="Arial"/>
                        <w:color w:val="FFFFFF"/>
                        <w:sz w:val="36"/>
                      </w:rPr>
                      <w:t>misstänkt</w:t>
                    </w:r>
                  </w:p>
                  <w:p>
                    <w:pPr>
                      <w:tabs>
                        <w:tab w:pos="7796" w:val="left" w:leader="none"/>
                      </w:tabs>
                      <w:spacing w:before="39"/>
                      <w:ind w:left="565" w:right="0" w:firstLine="0"/>
                      <w:jc w:val="left"/>
                      <w:rPr>
                        <w:rFonts w:ascii="Arial" w:hAnsi="Arial"/>
                        <w:b/>
                        <w:sz w:val="20"/>
                      </w:rPr>
                    </w:pPr>
                    <w:bookmarkStart w:name="penicillinallergi hos vuxna i primärvård" w:id="3"/>
                    <w:bookmarkEnd w:id="3"/>
                    <w:r>
                      <w:rPr/>
                    </w:r>
                    <w:r>
                      <w:rPr>
                        <w:rFonts w:ascii="Arial" w:hAnsi="Arial"/>
                        <w:color w:val="FFFFFF"/>
                        <w:sz w:val="36"/>
                      </w:rPr>
                      <w:t>penicillinallergi</w:t>
                    </w:r>
                    <w:r>
                      <w:rPr>
                        <w:rFonts w:ascii="Arial" w:hAnsi="Arial"/>
                        <w:color w:val="FFFFFF"/>
                        <w:spacing w:val="-4"/>
                        <w:sz w:val="36"/>
                      </w:rPr>
                      <w:t> </w:t>
                    </w:r>
                    <w:r>
                      <w:rPr>
                        <w:rFonts w:ascii="Arial" w:hAnsi="Arial"/>
                        <w:color w:val="FFFFFF"/>
                        <w:sz w:val="36"/>
                      </w:rPr>
                      <w:t>hos</w:t>
                    </w:r>
                    <w:r>
                      <w:rPr>
                        <w:rFonts w:ascii="Arial" w:hAnsi="Arial"/>
                        <w:color w:val="FFFFFF"/>
                        <w:spacing w:val="-3"/>
                        <w:sz w:val="36"/>
                      </w:rPr>
                      <w:t> </w:t>
                    </w:r>
                    <w:r>
                      <w:rPr>
                        <w:rFonts w:ascii="Arial" w:hAnsi="Arial"/>
                        <w:color w:val="FFFFFF"/>
                        <w:sz w:val="36"/>
                      </w:rPr>
                      <w:t>vuxna</w:t>
                    </w:r>
                    <w:r>
                      <w:rPr>
                        <w:rFonts w:ascii="Arial" w:hAnsi="Arial"/>
                        <w:color w:val="FFFFFF"/>
                        <w:spacing w:val="-4"/>
                        <w:sz w:val="36"/>
                      </w:rPr>
                      <w:t> </w:t>
                    </w:r>
                    <w:r>
                      <w:rPr>
                        <w:rFonts w:ascii="Arial" w:hAnsi="Arial"/>
                        <w:color w:val="FFFFFF"/>
                        <w:sz w:val="36"/>
                      </w:rPr>
                      <w:t>i</w:t>
                    </w:r>
                    <w:r>
                      <w:rPr>
                        <w:rFonts w:ascii="Arial" w:hAnsi="Arial"/>
                        <w:color w:val="FFFFFF"/>
                        <w:spacing w:val="-4"/>
                        <w:sz w:val="36"/>
                      </w:rPr>
                      <w:t> </w:t>
                    </w:r>
                    <w:r>
                      <w:rPr>
                        <w:rFonts w:ascii="Arial" w:hAnsi="Arial"/>
                        <w:color w:val="FFFFFF"/>
                        <w:sz w:val="36"/>
                      </w:rPr>
                      <w:t>primärvården</w:t>
                      <w:tab/>
                    </w:r>
                    <w:r>
                      <w:rPr>
                        <w:rFonts w:ascii="Arial" w:hAnsi="Arial"/>
                        <w:b/>
                        <w:color w:val="FFFFFF"/>
                        <w:sz w:val="20"/>
                      </w:rPr>
                      <w:t>Giltlig</w:t>
                    </w:r>
                    <w:r>
                      <w:rPr>
                        <w:rFonts w:ascii="Arial" w:hAnsi="Arial"/>
                        <w:b/>
                        <w:color w:val="FFFFFF"/>
                        <w:spacing w:val="70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color w:val="FFFFFF"/>
                        <w:sz w:val="20"/>
                      </w:rPr>
                      <w:t>fr.o.m</w:t>
                    </w:r>
                    <w:r>
                      <w:rPr>
                        <w:rFonts w:ascii="Arial" w:hAnsi="Arial"/>
                        <w:b/>
                        <w:color w:val="FFFFFF"/>
                        <w:spacing w:val="71"/>
                        <w:sz w:val="20"/>
                      </w:rPr>
                      <w:t> </w:t>
                    </w:r>
                    <w:r>
                      <w:rPr>
                        <w:rFonts w:ascii="Arial" w:hAnsi="Arial"/>
                        <w:b/>
                        <w:color w:val="FFFFFF"/>
                        <w:spacing w:val="10"/>
                        <w:sz w:val="20"/>
                      </w:rPr>
                      <w:t>2021-09-14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"/>
        <w:rPr>
          <w:sz w:val="10"/>
        </w:rPr>
      </w:pPr>
    </w:p>
    <w:p>
      <w:pPr>
        <w:pStyle w:val="Heading1"/>
        <w:spacing w:before="91"/>
      </w:pPr>
      <w:bookmarkStart w:name="Bakgrund" w:id="4"/>
      <w:bookmarkEnd w:id="4"/>
      <w:r>
        <w:rPr>
          <w:b w:val="0"/>
        </w:rPr>
      </w:r>
      <w:r>
        <w:rPr/>
        <w:t>Bakgrund</w:t>
      </w:r>
    </w:p>
    <w:p>
      <w:pPr>
        <w:pStyle w:val="BodyText"/>
        <w:spacing w:line="242" w:lineRule="auto" w:before="2"/>
        <w:ind w:left="672" w:right="554"/>
      </w:pPr>
      <w:r>
        <w:rPr/>
        <w:t>Överkänslighetsreaktioner, särskilt hudutslag, är mycket vanliga vid penicillinbehandling. De flesta</w:t>
      </w:r>
      <w:r>
        <w:rPr>
          <w:spacing w:val="1"/>
        </w:rPr>
        <w:t> </w:t>
      </w:r>
      <w:r>
        <w:rPr/>
        <w:t>är lindriga och beror inte på IgE-förmedlad eller annan allvarlig mekanism. Vanligen är reaktionerna</w:t>
      </w:r>
      <w:r>
        <w:rPr>
          <w:spacing w:val="-57"/>
        </w:rPr>
        <w:t> </w:t>
      </w:r>
      <w:r>
        <w:rPr/>
        <w:t>icke-allergiska och beror på bakomliggande infektion eller biverkan med god prognos. Antalet</w:t>
      </w:r>
      <w:r>
        <w:rPr>
          <w:spacing w:val="1"/>
        </w:rPr>
        <w:t> </w:t>
      </w:r>
      <w:r>
        <w:rPr/>
        <w:t>felaktiga varningsmärkningar för penicillinallergi är mycket stort och leder till förskrivning av</w:t>
      </w:r>
      <w:r>
        <w:rPr>
          <w:spacing w:val="1"/>
        </w:rPr>
        <w:t> </w:t>
      </w:r>
      <w:r>
        <w:rPr/>
        <w:t>andrahandspreparat med ökad risk för biverkningar och i vissa fall sämre klinisk effekt. De har oftare</w:t>
      </w:r>
      <w:r>
        <w:rPr>
          <w:spacing w:val="-57"/>
        </w:rPr>
        <w:t> </w:t>
      </w:r>
      <w:r>
        <w:rPr/>
        <w:t>bredare spektra med större påverkan på patientens normalflora och ökad risk för resistensutveckling.</w:t>
      </w:r>
      <w:r>
        <w:rPr>
          <w:spacing w:val="1"/>
        </w:rPr>
        <w:t> </w:t>
      </w:r>
      <w:r>
        <w:rPr/>
        <w:t>Misstänkt</w:t>
      </w:r>
      <w:r>
        <w:rPr>
          <w:spacing w:val="-1"/>
        </w:rPr>
        <w:t> </w:t>
      </w:r>
      <w:r>
        <w:rPr/>
        <w:t>penicillinallergi bör</w:t>
      </w:r>
      <w:r>
        <w:rPr>
          <w:spacing w:val="-1"/>
        </w:rPr>
        <w:t> </w:t>
      </w:r>
      <w:r>
        <w:rPr/>
        <w:t>därför</w:t>
      </w:r>
      <w:r>
        <w:rPr>
          <w:spacing w:val="-1"/>
        </w:rPr>
        <w:t> </w:t>
      </w:r>
      <w:r>
        <w:rPr/>
        <w:t>utredas.</w:t>
      </w:r>
    </w:p>
    <w:p>
      <w:pPr>
        <w:pStyle w:val="BodyText"/>
        <w:rPr>
          <w:sz w:val="26"/>
        </w:rPr>
      </w:pPr>
    </w:p>
    <w:p>
      <w:pPr>
        <w:pStyle w:val="Heading1"/>
        <w:spacing w:before="209"/>
      </w:pPr>
      <w:bookmarkStart w:name="Handläggning av olika typer av reaktione" w:id="5"/>
      <w:bookmarkEnd w:id="5"/>
      <w:r>
        <w:rPr>
          <w:b w:val="0"/>
        </w:rPr>
      </w:r>
      <w:r>
        <w:rPr/>
        <w:t>Handläggning</w:t>
      </w:r>
      <w:r>
        <w:rPr>
          <w:spacing w:val="33"/>
        </w:rPr>
        <w:t> </w:t>
      </w:r>
      <w:r>
        <w:rPr/>
        <w:t>av</w:t>
      </w:r>
      <w:r>
        <w:rPr>
          <w:spacing w:val="30"/>
        </w:rPr>
        <w:t> </w:t>
      </w:r>
      <w:r>
        <w:rPr/>
        <w:t>olika</w:t>
      </w:r>
      <w:r>
        <w:rPr>
          <w:spacing w:val="34"/>
        </w:rPr>
        <w:t> </w:t>
      </w:r>
      <w:r>
        <w:rPr/>
        <w:t>typer</w:t>
      </w:r>
      <w:r>
        <w:rPr>
          <w:spacing w:val="33"/>
        </w:rPr>
        <w:t> </w:t>
      </w:r>
      <w:r>
        <w:rPr/>
        <w:t>av</w:t>
      </w:r>
      <w:r>
        <w:rPr>
          <w:spacing w:val="34"/>
        </w:rPr>
        <w:t> </w:t>
      </w:r>
      <w:r>
        <w:rPr/>
        <w:t>reaktioner</w:t>
      </w:r>
      <w:r>
        <w:rPr>
          <w:spacing w:val="34"/>
        </w:rPr>
        <w:t> </w:t>
      </w:r>
      <w:r>
        <w:rPr/>
        <w:t>vid</w:t>
      </w:r>
      <w:r>
        <w:rPr>
          <w:spacing w:val="31"/>
        </w:rPr>
        <w:t> </w:t>
      </w:r>
      <w:r>
        <w:rPr/>
        <w:t>penicillinbehandling</w:t>
      </w:r>
    </w:p>
    <w:p>
      <w:pPr>
        <w:pStyle w:val="BodyText"/>
        <w:spacing w:line="242" w:lineRule="auto" w:before="2"/>
        <w:ind w:left="672" w:right="725"/>
      </w:pPr>
      <w:r>
        <w:rPr/>
        <w:t>Patient som fått antibiotikabehandling och får någon form av reaktion där misstanke finns om</w:t>
      </w:r>
      <w:r>
        <w:rPr>
          <w:spacing w:val="1"/>
        </w:rPr>
        <w:t> </w:t>
      </w:r>
      <w:r>
        <w:rPr/>
        <w:t>läkemedelsbiverkan, bör få en akuttid för att verifiera och dokumentera reaktionen (bakomliggande</w:t>
      </w:r>
      <w:r>
        <w:rPr>
          <w:spacing w:val="-57"/>
        </w:rPr>
        <w:t> </w:t>
      </w:r>
      <w:r>
        <w:rPr/>
        <w:t>infektion, preparat, symtom och tidssamband i förhållande till insättning av behandlingen). Ta</w:t>
      </w:r>
      <w:r>
        <w:rPr>
          <w:spacing w:val="1"/>
        </w:rPr>
        <w:t> </w:t>
      </w:r>
      <w:r>
        <w:rPr/>
        <w:t>initiativ</w:t>
      </w:r>
      <w:r>
        <w:rPr>
          <w:spacing w:val="-1"/>
        </w:rPr>
        <w:t> </w:t>
      </w:r>
      <w:r>
        <w:rPr/>
        <w:t>till utredning vid</w:t>
      </w:r>
      <w:r>
        <w:rPr>
          <w:spacing w:val="-3"/>
        </w:rPr>
        <w:t> </w:t>
      </w:r>
      <w:r>
        <w:rPr/>
        <w:t>misstänkt penicillinallergi.</w:t>
      </w:r>
    </w:p>
    <w:p>
      <w:pPr>
        <w:pStyle w:val="BodyText"/>
        <w:spacing w:before="1"/>
        <w:rPr>
          <w:sz w:val="21"/>
        </w:rPr>
      </w:pPr>
    </w:p>
    <w:p>
      <w:pPr>
        <w:pStyle w:val="Heading2"/>
        <w:numPr>
          <w:ilvl w:val="0"/>
          <w:numId w:val="1"/>
        </w:numPr>
        <w:tabs>
          <w:tab w:pos="966" w:val="left" w:leader="none"/>
        </w:tabs>
        <w:spacing w:line="240" w:lineRule="auto" w:before="1" w:after="0"/>
        <w:ind w:left="965" w:right="0" w:hanging="294"/>
        <w:jc w:val="left"/>
      </w:pPr>
      <w:r>
        <w:rPr/>
        <w:t>Hudutslag</w:t>
      </w:r>
      <w:r>
        <w:rPr>
          <w:spacing w:val="-3"/>
        </w:rPr>
        <w:t> </w:t>
      </w:r>
      <w:r>
        <w:rPr/>
        <w:t>utan</w:t>
      </w:r>
      <w:r>
        <w:rPr>
          <w:spacing w:val="-3"/>
        </w:rPr>
        <w:t> </w:t>
      </w:r>
      <w:r>
        <w:rPr/>
        <w:t>klåda:</w:t>
      </w:r>
    </w:p>
    <w:p>
      <w:pPr>
        <w:pStyle w:val="BodyText"/>
        <w:spacing w:line="242" w:lineRule="auto" w:before="4"/>
        <w:ind w:left="672" w:right="1414"/>
      </w:pPr>
      <w:r>
        <w:rPr/>
        <w:t>Behandlingen</w:t>
      </w:r>
      <w:r>
        <w:rPr>
          <w:spacing w:val="-2"/>
        </w:rPr>
        <w:t> </w:t>
      </w:r>
      <w:r>
        <w:rPr/>
        <w:t>behöver</w:t>
      </w:r>
      <w:r>
        <w:rPr>
          <w:spacing w:val="-2"/>
        </w:rPr>
        <w:t> </w:t>
      </w:r>
      <w:r>
        <w:rPr/>
        <w:t>inte</w:t>
      </w:r>
      <w:r>
        <w:rPr>
          <w:spacing w:val="-3"/>
        </w:rPr>
        <w:t> </w:t>
      </w:r>
      <w:r>
        <w:rPr/>
        <w:t>avbrytas</w:t>
      </w:r>
      <w:r>
        <w:rPr>
          <w:spacing w:val="-1"/>
        </w:rPr>
        <w:t> </w:t>
      </w:r>
      <w:r>
        <w:rPr/>
        <w:t>och</w:t>
      </w:r>
      <w:r>
        <w:rPr>
          <w:spacing w:val="-1"/>
        </w:rPr>
        <w:t> </w:t>
      </w:r>
      <w:r>
        <w:rPr/>
        <w:t>penicillin</w:t>
      </w:r>
      <w:r>
        <w:rPr>
          <w:spacing w:val="-2"/>
        </w:rPr>
        <w:t> </w:t>
      </w:r>
      <w:r>
        <w:rPr/>
        <w:t>kan</w:t>
      </w:r>
      <w:r>
        <w:rPr>
          <w:spacing w:val="-1"/>
        </w:rPr>
        <w:t> </w:t>
      </w:r>
      <w:r>
        <w:rPr/>
        <w:t>ges</w:t>
      </w:r>
      <w:r>
        <w:rPr>
          <w:spacing w:val="-1"/>
        </w:rPr>
        <w:t> </w:t>
      </w:r>
      <w:r>
        <w:rPr/>
        <w:t>i</w:t>
      </w:r>
      <w:r>
        <w:rPr>
          <w:spacing w:val="-2"/>
        </w:rPr>
        <w:t> </w:t>
      </w:r>
      <w:r>
        <w:rPr/>
        <w:t>framtiden.</w:t>
      </w:r>
      <w:r>
        <w:rPr>
          <w:spacing w:val="1"/>
        </w:rPr>
        <w:t> </w:t>
      </w:r>
      <w:r>
        <w:rPr/>
        <w:t>Ingen</w:t>
      </w:r>
      <w:r>
        <w:rPr>
          <w:spacing w:val="-2"/>
        </w:rPr>
        <w:t> </w:t>
      </w:r>
      <w:r>
        <w:rPr/>
        <w:t>utredning</w:t>
      </w:r>
      <w:r>
        <w:rPr>
          <w:spacing w:val="-1"/>
        </w:rPr>
        <w:t> </w:t>
      </w:r>
      <w:r>
        <w:rPr/>
        <w:t>eller</w:t>
      </w:r>
      <w:r>
        <w:rPr>
          <w:spacing w:val="-57"/>
        </w:rPr>
        <w:t> </w:t>
      </w:r>
      <w:r>
        <w:rPr/>
        <w:t>provokation</w:t>
      </w:r>
      <w:r>
        <w:rPr>
          <w:spacing w:val="-1"/>
        </w:rPr>
        <w:t> </w:t>
      </w:r>
      <w:r>
        <w:rPr/>
        <w:t>behövs.</w:t>
      </w:r>
    </w:p>
    <w:p>
      <w:pPr>
        <w:pStyle w:val="BodyText"/>
        <w:rPr>
          <w:sz w:val="21"/>
        </w:rPr>
      </w:pPr>
    </w:p>
    <w:p>
      <w:pPr>
        <w:pStyle w:val="Heading2"/>
        <w:numPr>
          <w:ilvl w:val="0"/>
          <w:numId w:val="1"/>
        </w:numPr>
        <w:tabs>
          <w:tab w:pos="954" w:val="left" w:leader="none"/>
        </w:tabs>
        <w:spacing w:line="240" w:lineRule="auto" w:before="1" w:after="0"/>
        <w:ind w:left="953" w:right="0" w:hanging="282"/>
        <w:jc w:val="left"/>
      </w:pPr>
      <w:r>
        <w:rPr/>
        <w:t>Hudutslag</w:t>
      </w:r>
      <w:r>
        <w:rPr>
          <w:spacing w:val="-2"/>
        </w:rPr>
        <w:t> </w:t>
      </w:r>
      <w:r>
        <w:rPr/>
        <w:t>med</w:t>
      </w:r>
      <w:r>
        <w:rPr>
          <w:spacing w:val="-4"/>
        </w:rPr>
        <w:t> </w:t>
      </w:r>
      <w:r>
        <w:rPr/>
        <w:t>klåda</w:t>
      </w:r>
      <w:r>
        <w:rPr>
          <w:spacing w:val="-2"/>
        </w:rPr>
        <w:t> </w:t>
      </w:r>
      <w:r>
        <w:rPr/>
        <w:t>eller</w:t>
      </w:r>
      <w:r>
        <w:rPr>
          <w:spacing w:val="-3"/>
        </w:rPr>
        <w:t> </w:t>
      </w:r>
      <w:r>
        <w:rPr/>
        <w:t>lindrig</w:t>
      </w:r>
      <w:r>
        <w:rPr>
          <w:spacing w:val="-2"/>
        </w:rPr>
        <w:t> </w:t>
      </w:r>
      <w:r>
        <w:rPr/>
        <w:t>urtikaria</w:t>
      </w:r>
      <w:r>
        <w:rPr>
          <w:spacing w:val="-2"/>
        </w:rPr>
        <w:t> </w:t>
      </w:r>
      <w:r>
        <w:rPr/>
        <w:t>som</w:t>
      </w:r>
      <w:r>
        <w:rPr>
          <w:spacing w:val="-1"/>
        </w:rPr>
        <w:t> </w:t>
      </w:r>
      <w:r>
        <w:rPr/>
        <w:t>kommer</w:t>
      </w:r>
      <w:r>
        <w:rPr>
          <w:spacing w:val="-2"/>
        </w:rPr>
        <w:t> </w:t>
      </w:r>
      <w:r>
        <w:rPr/>
        <w:t>&gt;3</w:t>
      </w:r>
      <w:r>
        <w:rPr>
          <w:spacing w:val="-2"/>
        </w:rPr>
        <w:t> </w:t>
      </w:r>
      <w:r>
        <w:rPr/>
        <w:t>dygn</w:t>
      </w:r>
      <w:r>
        <w:rPr>
          <w:spacing w:val="-2"/>
        </w:rPr>
        <w:t> </w:t>
      </w:r>
      <w:r>
        <w:rPr/>
        <w:t>efter</w:t>
      </w:r>
      <w:r>
        <w:rPr>
          <w:spacing w:val="-3"/>
        </w:rPr>
        <w:t> </w:t>
      </w:r>
      <w:r>
        <w:rPr/>
        <w:t>behandlingsstart:</w:t>
      </w:r>
    </w:p>
    <w:p>
      <w:pPr>
        <w:pStyle w:val="BodyText"/>
        <w:spacing w:before="4"/>
        <w:ind w:left="672"/>
      </w:pPr>
      <w:r>
        <w:rPr/>
        <w:t>Behandlingen</w:t>
      </w:r>
      <w:r>
        <w:rPr>
          <w:spacing w:val="-3"/>
        </w:rPr>
        <w:t> </w:t>
      </w:r>
      <w:r>
        <w:rPr/>
        <w:t>avbryts</w:t>
      </w:r>
      <w:r>
        <w:rPr>
          <w:spacing w:val="-2"/>
        </w:rPr>
        <w:t> </w:t>
      </w:r>
      <w:r>
        <w:rPr/>
        <w:t>och</w:t>
      </w:r>
      <w:r>
        <w:rPr>
          <w:spacing w:val="-2"/>
        </w:rPr>
        <w:t> </w:t>
      </w:r>
      <w:r>
        <w:rPr/>
        <w:t>antibiotikabyte</w:t>
      </w:r>
      <w:r>
        <w:rPr>
          <w:spacing w:val="-3"/>
        </w:rPr>
        <w:t> </w:t>
      </w:r>
      <w:r>
        <w:rPr/>
        <w:t>rekommenderas</w:t>
      </w:r>
      <w:r>
        <w:rPr>
          <w:spacing w:val="-2"/>
        </w:rPr>
        <w:t> </w:t>
      </w:r>
      <w:r>
        <w:rPr/>
        <w:t>om</w:t>
      </w:r>
      <w:r>
        <w:rPr>
          <w:spacing w:val="-2"/>
        </w:rPr>
        <w:t> </w:t>
      </w:r>
      <w:r>
        <w:rPr/>
        <w:t>indikation kvarstår.</w:t>
      </w:r>
    </w:p>
    <w:p>
      <w:pPr>
        <w:pStyle w:val="BodyText"/>
        <w:spacing w:line="242" w:lineRule="auto" w:before="5"/>
        <w:ind w:left="672" w:right="677"/>
      </w:pPr>
      <w:r>
        <w:rPr/>
        <w:t>IgE-förmedlad reaktion är osannolik. Utredning med peroral provokation i primärvården bör göras i</w:t>
      </w:r>
      <w:r>
        <w:rPr>
          <w:spacing w:val="-57"/>
        </w:rPr>
        <w:t> </w:t>
      </w:r>
      <w:r>
        <w:rPr/>
        <w:t>infektionsfritt intervall, se nedan. Avvakta med varningsmärkning av journalen tills utredningen är</w:t>
      </w:r>
      <w:r>
        <w:rPr>
          <w:spacing w:val="1"/>
        </w:rPr>
        <w:t> </w:t>
      </w:r>
      <w:r>
        <w:rPr/>
        <w:t>klar.</w:t>
      </w:r>
    </w:p>
    <w:p>
      <w:pPr>
        <w:pStyle w:val="BodyText"/>
        <w:spacing w:before="2"/>
        <w:rPr>
          <w:sz w:val="21"/>
        </w:rPr>
      </w:pPr>
    </w:p>
    <w:p>
      <w:pPr>
        <w:pStyle w:val="Heading2"/>
        <w:numPr>
          <w:ilvl w:val="0"/>
          <w:numId w:val="1"/>
        </w:numPr>
        <w:tabs>
          <w:tab w:pos="966" w:val="left" w:leader="none"/>
        </w:tabs>
        <w:spacing w:line="240" w:lineRule="auto" w:before="1" w:after="0"/>
        <w:ind w:left="965" w:right="0" w:hanging="294"/>
        <w:jc w:val="left"/>
      </w:pPr>
      <w:r>
        <w:rPr/>
        <w:t>Hudutslag</w:t>
      </w:r>
      <w:r>
        <w:rPr>
          <w:spacing w:val="-5"/>
        </w:rPr>
        <w:t> </w:t>
      </w:r>
      <w:r>
        <w:rPr/>
        <w:t>med</w:t>
      </w:r>
      <w:r>
        <w:rPr>
          <w:spacing w:val="-2"/>
        </w:rPr>
        <w:t> </w:t>
      </w:r>
      <w:r>
        <w:rPr/>
        <w:t>klåda</w:t>
      </w:r>
      <w:r>
        <w:rPr>
          <w:spacing w:val="-2"/>
        </w:rPr>
        <w:t> </w:t>
      </w:r>
      <w:r>
        <w:rPr/>
        <w:t>eller</w:t>
      </w:r>
      <w:r>
        <w:rPr>
          <w:spacing w:val="-3"/>
        </w:rPr>
        <w:t> </w:t>
      </w:r>
      <w:r>
        <w:rPr/>
        <w:t>lindrig</w:t>
      </w:r>
      <w:r>
        <w:rPr>
          <w:spacing w:val="-2"/>
        </w:rPr>
        <w:t> </w:t>
      </w:r>
      <w:r>
        <w:rPr/>
        <w:t>urtikaria</w:t>
      </w:r>
      <w:r>
        <w:rPr>
          <w:spacing w:val="-2"/>
        </w:rPr>
        <w:t> </w:t>
      </w:r>
      <w:r>
        <w:rPr/>
        <w:t>som</w:t>
      </w:r>
      <w:r>
        <w:rPr>
          <w:spacing w:val="-1"/>
        </w:rPr>
        <w:t> </w:t>
      </w:r>
      <w:r>
        <w:rPr/>
        <w:t>kommer</w:t>
      </w:r>
      <w:r>
        <w:rPr>
          <w:spacing w:val="-2"/>
        </w:rPr>
        <w:t> </w:t>
      </w:r>
      <w:r>
        <w:rPr/>
        <w:t>≤3</w:t>
      </w:r>
      <w:r>
        <w:rPr>
          <w:spacing w:val="-2"/>
        </w:rPr>
        <w:t> </w:t>
      </w:r>
      <w:r>
        <w:rPr/>
        <w:t>dygn</w:t>
      </w:r>
      <w:r>
        <w:rPr>
          <w:spacing w:val="-2"/>
        </w:rPr>
        <w:t> </w:t>
      </w:r>
      <w:r>
        <w:rPr/>
        <w:t>efter</w:t>
      </w:r>
      <w:r>
        <w:rPr>
          <w:spacing w:val="-3"/>
        </w:rPr>
        <w:t> </w:t>
      </w:r>
      <w:r>
        <w:rPr/>
        <w:t>behandlingsstart:</w:t>
      </w:r>
    </w:p>
    <w:p>
      <w:pPr>
        <w:pStyle w:val="BodyText"/>
        <w:spacing w:before="2"/>
        <w:ind w:left="672"/>
      </w:pPr>
      <w:r>
        <w:rPr/>
        <w:t>Behandlingen</w:t>
      </w:r>
      <w:r>
        <w:rPr>
          <w:spacing w:val="-3"/>
        </w:rPr>
        <w:t> </w:t>
      </w:r>
      <w:r>
        <w:rPr/>
        <w:t>avbryts</w:t>
      </w:r>
      <w:r>
        <w:rPr>
          <w:spacing w:val="-2"/>
        </w:rPr>
        <w:t> </w:t>
      </w:r>
      <w:r>
        <w:rPr/>
        <w:t>och</w:t>
      </w:r>
      <w:r>
        <w:rPr>
          <w:spacing w:val="-2"/>
        </w:rPr>
        <w:t> </w:t>
      </w:r>
      <w:r>
        <w:rPr/>
        <w:t>antibiotikabyte</w:t>
      </w:r>
      <w:r>
        <w:rPr>
          <w:spacing w:val="-3"/>
        </w:rPr>
        <w:t> </w:t>
      </w:r>
      <w:r>
        <w:rPr/>
        <w:t>rekommenderas</w:t>
      </w:r>
      <w:r>
        <w:rPr>
          <w:spacing w:val="-2"/>
        </w:rPr>
        <w:t> </w:t>
      </w:r>
      <w:r>
        <w:rPr/>
        <w:t>om</w:t>
      </w:r>
      <w:r>
        <w:rPr>
          <w:spacing w:val="-2"/>
        </w:rPr>
        <w:t> </w:t>
      </w:r>
      <w:r>
        <w:rPr/>
        <w:t>indikation kvarstår.</w:t>
      </w:r>
    </w:p>
    <w:p>
      <w:pPr>
        <w:pStyle w:val="BodyText"/>
        <w:spacing w:line="244" w:lineRule="auto" w:before="5"/>
        <w:ind w:left="672" w:right="677"/>
      </w:pPr>
      <w:r>
        <w:rPr/>
        <w:t>IgE-förmedlad reaktion kan misstänkas. Fortsatt utredning av penicillinallergi inom specialiserad</w:t>
      </w:r>
      <w:r>
        <w:rPr>
          <w:spacing w:val="1"/>
        </w:rPr>
        <w:t> </w:t>
      </w:r>
      <w:r>
        <w:rPr/>
        <w:t>allergisjukvård rekommenderas. Specifikt IgE mot fenoximetylpenicillin (PcV), alternativt</w:t>
      </w:r>
      <w:r>
        <w:rPr>
          <w:spacing w:val="1"/>
        </w:rPr>
        <w:t> </w:t>
      </w:r>
      <w:r>
        <w:rPr/>
        <w:t>bensylpenicillin (PcG) eller amoxicillin om denna typ av preparat getts, kontrolleras, tidigast efter 2</w:t>
      </w:r>
      <w:r>
        <w:rPr>
          <w:spacing w:val="-57"/>
        </w:rPr>
        <w:t> </w:t>
      </w:r>
      <w:r>
        <w:rPr/>
        <w:t>veckor, innan remiss skrivs. Ange provsvaret i remissen. Detta förenklar och möjliggör snabbare</w:t>
      </w:r>
      <w:r>
        <w:rPr>
          <w:spacing w:val="1"/>
        </w:rPr>
        <w:t> </w:t>
      </w:r>
      <w:r>
        <w:rPr/>
        <w:t>handläggning i specialiserad vård. Ingen provokation i primärvården. Avvakta med</w:t>
      </w:r>
      <w:r>
        <w:rPr>
          <w:spacing w:val="1"/>
        </w:rPr>
        <w:t> </w:t>
      </w:r>
      <w:r>
        <w:rPr/>
        <w:t>varningsmärkning</w:t>
      </w:r>
      <w:r>
        <w:rPr>
          <w:spacing w:val="-1"/>
        </w:rPr>
        <w:t> </w:t>
      </w:r>
      <w:r>
        <w:rPr/>
        <w:t>av journalen tills utredningen är</w:t>
      </w:r>
      <w:r>
        <w:rPr>
          <w:spacing w:val="-1"/>
        </w:rPr>
        <w:t> </w:t>
      </w:r>
      <w:r>
        <w:rPr/>
        <w:t>klar.</w:t>
      </w:r>
    </w:p>
    <w:p>
      <w:pPr>
        <w:pStyle w:val="Heading2"/>
        <w:numPr>
          <w:ilvl w:val="0"/>
          <w:numId w:val="1"/>
        </w:numPr>
        <w:tabs>
          <w:tab w:pos="966" w:val="left" w:leader="none"/>
        </w:tabs>
        <w:spacing w:line="240" w:lineRule="auto" w:before="231" w:after="0"/>
        <w:ind w:left="965" w:right="0" w:hanging="294"/>
        <w:jc w:val="left"/>
      </w:pPr>
      <w:r>
        <w:rPr/>
        <w:t>Svår</w:t>
      </w:r>
      <w:r>
        <w:rPr>
          <w:spacing w:val="-4"/>
        </w:rPr>
        <w:t> </w:t>
      </w:r>
      <w:r>
        <w:rPr/>
        <w:t>och</w:t>
      </w:r>
      <w:r>
        <w:rPr>
          <w:spacing w:val="-1"/>
        </w:rPr>
        <w:t> </w:t>
      </w:r>
      <w:r>
        <w:rPr/>
        <w:t>utbredd</w:t>
      </w:r>
      <w:r>
        <w:rPr>
          <w:spacing w:val="-2"/>
        </w:rPr>
        <w:t> </w:t>
      </w:r>
      <w:r>
        <w:rPr/>
        <w:t>urtikaria</w:t>
      </w:r>
      <w:r>
        <w:rPr>
          <w:spacing w:val="-2"/>
        </w:rPr>
        <w:t> </w:t>
      </w:r>
      <w:r>
        <w:rPr/>
        <w:t>och/eller</w:t>
      </w:r>
      <w:r>
        <w:rPr>
          <w:spacing w:val="-3"/>
        </w:rPr>
        <w:t> </w:t>
      </w:r>
      <w:r>
        <w:rPr/>
        <w:t>led-eller</w:t>
      </w:r>
      <w:r>
        <w:rPr>
          <w:spacing w:val="-3"/>
        </w:rPr>
        <w:t> </w:t>
      </w:r>
      <w:r>
        <w:rPr/>
        <w:t>ansiktssvullnad:</w:t>
      </w:r>
    </w:p>
    <w:p>
      <w:pPr>
        <w:pStyle w:val="BodyText"/>
        <w:spacing w:line="242" w:lineRule="auto" w:before="5"/>
        <w:ind w:left="672" w:right="830"/>
      </w:pPr>
      <w:r>
        <w:rPr/>
        <w:t>Behandlingen avbryts och antibiotikabyte rekommenderas om indikation kvarstår. Stor recidivrisk</w:t>
      </w:r>
      <w:r>
        <w:rPr>
          <w:spacing w:val="-58"/>
        </w:rPr>
        <w:t> </w:t>
      </w:r>
      <w:r>
        <w:rPr/>
        <w:t>föreligger och penicillin ska undvikas fortsättningsvis. Varningsmärkning av journalen ska göras.</w:t>
      </w:r>
      <w:r>
        <w:rPr>
          <w:spacing w:val="1"/>
        </w:rPr>
        <w:t> </w:t>
      </w:r>
      <w:r>
        <w:rPr/>
        <w:t>Kontakt</w:t>
      </w:r>
      <w:r>
        <w:rPr>
          <w:spacing w:val="-1"/>
        </w:rPr>
        <w:t> </w:t>
      </w:r>
      <w:r>
        <w:rPr/>
        <w:t>med specialiserad</w:t>
      </w:r>
      <w:r>
        <w:rPr>
          <w:spacing w:val="-1"/>
        </w:rPr>
        <w:t> </w:t>
      </w:r>
      <w:r>
        <w:rPr/>
        <w:t>allergivård för</w:t>
      </w:r>
      <w:r>
        <w:rPr>
          <w:spacing w:val="-2"/>
        </w:rPr>
        <w:t> </w:t>
      </w:r>
      <w:r>
        <w:rPr/>
        <w:t>rådgivning vid</w:t>
      </w:r>
      <w:r>
        <w:rPr>
          <w:spacing w:val="-1"/>
        </w:rPr>
        <w:t> </w:t>
      </w:r>
      <w:r>
        <w:rPr/>
        <w:t>behov.</w:t>
      </w:r>
      <w:r>
        <w:rPr>
          <w:spacing w:val="2"/>
        </w:rPr>
        <w:t> </w:t>
      </w:r>
      <w:r>
        <w:rPr/>
        <w:t>Ingen</w:t>
      </w:r>
      <w:r>
        <w:rPr>
          <w:spacing w:val="-1"/>
        </w:rPr>
        <w:t> </w:t>
      </w:r>
      <w:r>
        <w:rPr/>
        <w:t>provokation.</w:t>
      </w:r>
    </w:p>
    <w:p>
      <w:pPr>
        <w:pStyle w:val="BodyText"/>
        <w:spacing w:before="2"/>
        <w:rPr>
          <w:sz w:val="21"/>
        </w:rPr>
      </w:pPr>
    </w:p>
    <w:p>
      <w:pPr>
        <w:pStyle w:val="Heading2"/>
        <w:numPr>
          <w:ilvl w:val="0"/>
          <w:numId w:val="1"/>
        </w:numPr>
        <w:tabs>
          <w:tab w:pos="954" w:val="left" w:leader="none"/>
        </w:tabs>
        <w:spacing w:line="240" w:lineRule="auto" w:before="0" w:after="0"/>
        <w:ind w:left="953" w:right="0" w:hanging="282"/>
        <w:jc w:val="left"/>
        <w:rPr>
          <w:b w:val="0"/>
        </w:rPr>
      </w:pPr>
      <w:r>
        <w:rPr/>
        <w:t>Anafylaxi</w:t>
      </w:r>
      <w:r>
        <w:rPr>
          <w:spacing w:val="-3"/>
        </w:rPr>
        <w:t> </w:t>
      </w:r>
      <w:r>
        <w:rPr/>
        <w:t>eller</w:t>
      </w:r>
      <w:r>
        <w:rPr>
          <w:spacing w:val="-4"/>
        </w:rPr>
        <w:t> </w:t>
      </w:r>
      <w:r>
        <w:rPr/>
        <w:t>mukokutant</w:t>
      </w:r>
      <w:r>
        <w:rPr>
          <w:spacing w:val="-3"/>
        </w:rPr>
        <w:t> </w:t>
      </w:r>
      <w:r>
        <w:rPr/>
        <w:t>syndrom</w:t>
      </w:r>
      <w:r>
        <w:rPr>
          <w:b w:val="0"/>
        </w:rPr>
        <w:t>:</w:t>
      </w:r>
    </w:p>
    <w:p>
      <w:pPr>
        <w:pStyle w:val="BodyText"/>
        <w:spacing w:line="244" w:lineRule="auto" w:before="2"/>
        <w:ind w:left="672" w:right="596"/>
      </w:pPr>
      <w:r>
        <w:rPr/>
        <w:t>Avbryt behandlingen. Ge akutbehandling och remittera till akutmottagning på sjukhus. Patienten ska</w:t>
      </w:r>
      <w:r>
        <w:rPr>
          <w:spacing w:val="-57"/>
        </w:rPr>
        <w:t> </w:t>
      </w:r>
      <w:r>
        <w:rPr/>
        <w:t>inte</w:t>
      </w:r>
      <w:r>
        <w:rPr>
          <w:spacing w:val="-2"/>
        </w:rPr>
        <w:t> </w:t>
      </w:r>
      <w:r>
        <w:rPr/>
        <w:t>ha</w:t>
      </w:r>
      <w:r>
        <w:rPr>
          <w:spacing w:val="-2"/>
        </w:rPr>
        <w:t> </w:t>
      </w:r>
      <w:r>
        <w:rPr/>
        <w:t>penicillin</w:t>
      </w:r>
      <w:r>
        <w:rPr>
          <w:spacing w:val="-1"/>
        </w:rPr>
        <w:t> </w:t>
      </w:r>
      <w:r>
        <w:rPr/>
        <w:t>fortsättningsvis.</w:t>
      </w:r>
      <w:r>
        <w:rPr>
          <w:spacing w:val="-1"/>
        </w:rPr>
        <w:t> </w:t>
      </w:r>
      <w:r>
        <w:rPr/>
        <w:t>Varningsmärkning</w:t>
      </w:r>
      <w:r>
        <w:rPr>
          <w:spacing w:val="-1"/>
        </w:rPr>
        <w:t> </w:t>
      </w:r>
      <w:r>
        <w:rPr/>
        <w:t>av</w:t>
      </w:r>
      <w:r>
        <w:rPr>
          <w:spacing w:val="-1"/>
        </w:rPr>
        <w:t> </w:t>
      </w:r>
      <w:r>
        <w:rPr/>
        <w:t>journalen ska</w:t>
      </w:r>
      <w:r>
        <w:rPr>
          <w:spacing w:val="-2"/>
        </w:rPr>
        <w:t> </w:t>
      </w:r>
      <w:r>
        <w:rPr/>
        <w:t>göras.</w:t>
      </w:r>
      <w:r>
        <w:rPr>
          <w:spacing w:val="-1"/>
        </w:rPr>
        <w:t> </w:t>
      </w:r>
      <w:r>
        <w:rPr/>
        <w:t>Ingen</w:t>
      </w:r>
      <w:r>
        <w:rPr>
          <w:spacing w:val="-1"/>
        </w:rPr>
        <w:t> </w:t>
      </w:r>
      <w:r>
        <w:rPr/>
        <w:t>provokation.</w:t>
      </w:r>
    </w:p>
    <w:p>
      <w:pPr>
        <w:spacing w:after="0" w:line="244" w:lineRule="auto"/>
        <w:sectPr>
          <w:footerReference w:type="default" r:id="rId5"/>
          <w:type w:val="continuous"/>
          <w:pgSz w:w="11900" w:h="16850"/>
          <w:pgMar w:footer="968" w:header="0" w:top="560" w:bottom="1160" w:left="460" w:right="480"/>
          <w:pgNumType w:start="1"/>
        </w:sectPr>
      </w:pPr>
    </w:p>
    <w:p>
      <w:pPr>
        <w:pStyle w:val="Heading1"/>
      </w:pPr>
      <w:bookmarkStart w:name="Utförande av peroral provokation i primä" w:id="6"/>
      <w:bookmarkEnd w:id="6"/>
      <w:r>
        <w:rPr>
          <w:b w:val="0"/>
        </w:rPr>
      </w:r>
      <w:r>
        <w:rPr/>
        <w:t>Utförande</w:t>
      </w:r>
      <w:r>
        <w:rPr>
          <w:spacing w:val="23"/>
        </w:rPr>
        <w:t> </w:t>
      </w:r>
      <w:r>
        <w:rPr/>
        <w:t>av</w:t>
      </w:r>
      <w:r>
        <w:rPr>
          <w:spacing w:val="28"/>
        </w:rPr>
        <w:t> </w:t>
      </w:r>
      <w:r>
        <w:rPr/>
        <w:t>peroral</w:t>
      </w:r>
      <w:r>
        <w:rPr>
          <w:spacing w:val="27"/>
        </w:rPr>
        <w:t> </w:t>
      </w:r>
      <w:r>
        <w:rPr/>
        <w:t>provokation</w:t>
      </w:r>
      <w:r>
        <w:rPr>
          <w:spacing w:val="25"/>
        </w:rPr>
        <w:t> </w:t>
      </w:r>
      <w:r>
        <w:rPr/>
        <w:t>i</w:t>
      </w:r>
      <w:r>
        <w:rPr>
          <w:spacing w:val="27"/>
        </w:rPr>
        <w:t> </w:t>
      </w:r>
      <w:r>
        <w:rPr/>
        <w:t>primärvård</w:t>
      </w:r>
      <w:r>
        <w:rPr>
          <w:spacing w:val="28"/>
        </w:rPr>
        <w:t> </w:t>
      </w:r>
      <w:r>
        <w:rPr/>
        <w:t>i</w:t>
      </w:r>
      <w:r>
        <w:rPr>
          <w:spacing w:val="24"/>
        </w:rPr>
        <w:t> </w:t>
      </w:r>
      <w:r>
        <w:rPr/>
        <w:t>symtomgrupp</w:t>
      </w:r>
      <w:r>
        <w:rPr>
          <w:spacing w:val="27"/>
        </w:rPr>
        <w:t> </w:t>
      </w:r>
      <w:r>
        <w:rPr/>
        <w:t>B</w:t>
      </w:r>
    </w:p>
    <w:p>
      <w:pPr>
        <w:spacing w:line="242" w:lineRule="auto" w:before="2"/>
        <w:ind w:left="672" w:right="551" w:firstLine="0"/>
        <w:jc w:val="left"/>
        <w:rPr>
          <w:sz w:val="24"/>
        </w:rPr>
      </w:pPr>
      <w:r>
        <w:rPr>
          <w:b/>
          <w:sz w:val="24"/>
        </w:rPr>
        <w:t>Vid lindriga symtom med debut &gt;3 dygn efter behandlingsstart </w:t>
      </w:r>
      <w:r>
        <w:rPr>
          <w:sz w:val="24"/>
        </w:rPr>
        <w:t>behöver specifikt IgE för aktuellt</w:t>
      </w:r>
      <w:r>
        <w:rPr>
          <w:spacing w:val="-57"/>
          <w:sz w:val="24"/>
        </w:rPr>
        <w:t> </w:t>
      </w:r>
      <w:r>
        <w:rPr>
          <w:sz w:val="24"/>
        </w:rPr>
        <w:t>penicillin</w:t>
      </w:r>
      <w:r>
        <w:rPr>
          <w:spacing w:val="-1"/>
          <w:sz w:val="24"/>
        </w:rPr>
        <w:t> </w:t>
      </w:r>
      <w:r>
        <w:rPr>
          <w:sz w:val="24"/>
        </w:rPr>
        <w:t>inte</w:t>
      </w:r>
      <w:r>
        <w:rPr>
          <w:spacing w:val="-1"/>
          <w:sz w:val="24"/>
        </w:rPr>
        <w:t> </w:t>
      </w:r>
      <w:r>
        <w:rPr>
          <w:sz w:val="24"/>
        </w:rPr>
        <w:t>kontrolleras.</w:t>
      </w:r>
    </w:p>
    <w:p>
      <w:pPr>
        <w:pStyle w:val="BodyText"/>
        <w:spacing w:line="242" w:lineRule="auto" w:before="1"/>
        <w:ind w:left="672" w:right="571"/>
      </w:pPr>
      <w:r>
        <w:rPr/>
        <w:t>Provokation kan genomföras på vårdenhet med beredskap för anafylaxi med tillgång till</w:t>
      </w:r>
      <w:r>
        <w:rPr>
          <w:spacing w:val="1"/>
        </w:rPr>
        <w:t> </w:t>
      </w:r>
      <w:r>
        <w:rPr/>
        <w:t>akutläkemedel och möjlighet att vid behov sätta perifer venkateter och ge syrgas. Risken för reaktion</w:t>
      </w:r>
      <w:r>
        <w:rPr>
          <w:spacing w:val="-57"/>
        </w:rPr>
        <w:t> </w:t>
      </w:r>
      <w:r>
        <w:rPr/>
        <w:t>vid</w:t>
      </w:r>
      <w:r>
        <w:rPr>
          <w:spacing w:val="-1"/>
        </w:rPr>
        <w:t> </w:t>
      </w:r>
      <w:r>
        <w:rPr/>
        <w:t>ovanstående</w:t>
      </w:r>
      <w:r>
        <w:rPr>
          <w:spacing w:val="-1"/>
        </w:rPr>
        <w:t> </w:t>
      </w:r>
      <w:r>
        <w:rPr/>
        <w:t>indikation är</w:t>
      </w:r>
      <w:r>
        <w:rPr>
          <w:spacing w:val="-1"/>
        </w:rPr>
        <w:t> </w:t>
      </w:r>
      <w:r>
        <w:rPr/>
        <w:t>mycket liten.</w:t>
      </w:r>
    </w:p>
    <w:p>
      <w:pPr>
        <w:pStyle w:val="ListParagraph"/>
        <w:numPr>
          <w:ilvl w:val="1"/>
          <w:numId w:val="1"/>
        </w:numPr>
        <w:tabs>
          <w:tab w:pos="1392" w:val="left" w:leader="none"/>
          <w:tab w:pos="1393" w:val="left" w:leader="none"/>
        </w:tabs>
        <w:spacing w:line="242" w:lineRule="auto" w:before="227" w:after="0"/>
        <w:ind w:left="1392" w:right="1354" w:hanging="360"/>
        <w:jc w:val="left"/>
        <w:rPr>
          <w:sz w:val="24"/>
        </w:rPr>
      </w:pPr>
      <w:r>
        <w:rPr>
          <w:sz w:val="24"/>
        </w:rPr>
        <w:t>Ge peroralt fenoximetylpenicillin (PcV) i normal terapeutisk dos (0.8-1 g), alternativt</w:t>
      </w:r>
      <w:r>
        <w:rPr>
          <w:spacing w:val="-57"/>
          <w:sz w:val="24"/>
        </w:rPr>
        <w:t> </w:t>
      </w:r>
      <w:r>
        <w:rPr>
          <w:sz w:val="24"/>
        </w:rPr>
        <w:t>amoxicillin</w:t>
      </w:r>
      <w:r>
        <w:rPr>
          <w:spacing w:val="-1"/>
          <w:sz w:val="24"/>
        </w:rPr>
        <w:t> </w:t>
      </w:r>
      <w:r>
        <w:rPr>
          <w:sz w:val="24"/>
        </w:rPr>
        <w:t>500 mg</w:t>
      </w:r>
      <w:r>
        <w:rPr>
          <w:spacing w:val="-1"/>
          <w:sz w:val="24"/>
        </w:rPr>
        <w:t> </w:t>
      </w:r>
      <w:r>
        <w:rPr>
          <w:sz w:val="24"/>
        </w:rPr>
        <w:t>om patienten fått</w:t>
      </w:r>
      <w:r>
        <w:rPr>
          <w:spacing w:val="-1"/>
          <w:sz w:val="24"/>
        </w:rPr>
        <w:t> </w:t>
      </w:r>
      <w:r>
        <w:rPr>
          <w:sz w:val="24"/>
        </w:rPr>
        <w:t>reaktion</w:t>
      </w:r>
      <w:r>
        <w:rPr>
          <w:spacing w:val="-1"/>
          <w:sz w:val="24"/>
        </w:rPr>
        <w:t> </w:t>
      </w:r>
      <w:r>
        <w:rPr>
          <w:sz w:val="24"/>
        </w:rPr>
        <w:t>på</w:t>
      </w:r>
      <w:r>
        <w:rPr>
          <w:spacing w:val="-1"/>
          <w:sz w:val="24"/>
        </w:rPr>
        <w:t> </w:t>
      </w:r>
      <w:r>
        <w:rPr>
          <w:sz w:val="24"/>
        </w:rPr>
        <w:t>detta</w:t>
      </w:r>
      <w:r>
        <w:rPr>
          <w:spacing w:val="-2"/>
          <w:sz w:val="24"/>
        </w:rPr>
        <w:t> </w:t>
      </w:r>
      <w:r>
        <w:rPr>
          <w:sz w:val="24"/>
        </w:rPr>
        <w:t>läkemedel.</w:t>
      </w:r>
    </w:p>
    <w:p>
      <w:pPr>
        <w:pStyle w:val="ListParagraph"/>
        <w:numPr>
          <w:ilvl w:val="1"/>
          <w:numId w:val="1"/>
        </w:numPr>
        <w:tabs>
          <w:tab w:pos="1392" w:val="left" w:leader="none"/>
          <w:tab w:pos="1393" w:val="left" w:leader="none"/>
        </w:tabs>
        <w:spacing w:line="278" w:lineRule="exact" w:before="0" w:after="0"/>
        <w:ind w:left="1392" w:right="0" w:hanging="361"/>
        <w:jc w:val="left"/>
        <w:rPr>
          <w:sz w:val="24"/>
        </w:rPr>
      </w:pPr>
      <w:r>
        <w:rPr>
          <w:sz w:val="24"/>
        </w:rPr>
        <w:t>Observera</w:t>
      </w:r>
      <w:r>
        <w:rPr>
          <w:spacing w:val="-3"/>
          <w:sz w:val="24"/>
        </w:rPr>
        <w:t> </w:t>
      </w:r>
      <w:r>
        <w:rPr>
          <w:sz w:val="24"/>
        </w:rPr>
        <w:t>patienten</w:t>
      </w:r>
      <w:r>
        <w:rPr>
          <w:spacing w:val="-1"/>
          <w:sz w:val="24"/>
        </w:rPr>
        <w:t> </w:t>
      </w:r>
      <w:r>
        <w:rPr>
          <w:sz w:val="24"/>
        </w:rPr>
        <w:t>minst</w:t>
      </w:r>
      <w:r>
        <w:rPr>
          <w:spacing w:val="-1"/>
          <w:sz w:val="24"/>
        </w:rPr>
        <w:t> </w:t>
      </w:r>
      <w:r>
        <w:rPr>
          <w:sz w:val="24"/>
        </w:rPr>
        <w:t>en</w:t>
      </w:r>
      <w:r>
        <w:rPr>
          <w:spacing w:val="-1"/>
          <w:sz w:val="24"/>
        </w:rPr>
        <w:t> </w:t>
      </w:r>
      <w:r>
        <w:rPr>
          <w:sz w:val="24"/>
        </w:rPr>
        <w:t>timme.</w:t>
      </w:r>
    </w:p>
    <w:p>
      <w:pPr>
        <w:pStyle w:val="ListParagraph"/>
        <w:numPr>
          <w:ilvl w:val="2"/>
          <w:numId w:val="1"/>
        </w:numPr>
        <w:tabs>
          <w:tab w:pos="2113" w:val="left" w:leader="none"/>
        </w:tabs>
        <w:spacing w:line="223" w:lineRule="auto" w:before="16" w:after="0"/>
        <w:ind w:left="2112" w:right="618" w:hanging="360"/>
        <w:jc w:val="left"/>
        <w:rPr>
          <w:sz w:val="24"/>
        </w:rPr>
      </w:pPr>
      <w:r>
        <w:rPr>
          <w:b/>
          <w:sz w:val="24"/>
        </w:rPr>
        <w:t>Inga symtom </w:t>
      </w:r>
      <w:r>
        <w:rPr>
          <w:sz w:val="24"/>
        </w:rPr>
        <w:t>vid provokation; penicillinallergi förekommer inte och patienten kan ta</w:t>
      </w:r>
      <w:r>
        <w:rPr>
          <w:spacing w:val="-57"/>
          <w:sz w:val="24"/>
        </w:rPr>
        <w:t> </w:t>
      </w:r>
      <w:r>
        <w:rPr>
          <w:sz w:val="24"/>
        </w:rPr>
        <w:t>penicillin</w:t>
      </w:r>
      <w:r>
        <w:rPr>
          <w:spacing w:val="-1"/>
          <w:sz w:val="24"/>
        </w:rPr>
        <w:t> </w:t>
      </w:r>
      <w:r>
        <w:rPr>
          <w:sz w:val="24"/>
        </w:rPr>
        <w:t>i framtiden, eventuell</w:t>
      </w:r>
      <w:r>
        <w:rPr>
          <w:spacing w:val="-1"/>
          <w:sz w:val="24"/>
        </w:rPr>
        <w:t> </w:t>
      </w:r>
      <w:r>
        <w:rPr>
          <w:sz w:val="24"/>
        </w:rPr>
        <w:t>varningsmärkning kan tas bort.</w:t>
      </w:r>
    </w:p>
    <w:p>
      <w:pPr>
        <w:pStyle w:val="ListParagraph"/>
        <w:numPr>
          <w:ilvl w:val="2"/>
          <w:numId w:val="1"/>
        </w:numPr>
        <w:tabs>
          <w:tab w:pos="2113" w:val="left" w:leader="none"/>
        </w:tabs>
        <w:spacing w:line="230" w:lineRule="auto" w:before="12" w:after="0"/>
        <w:ind w:left="2112" w:right="718" w:hanging="360"/>
        <w:jc w:val="left"/>
        <w:rPr>
          <w:sz w:val="24"/>
        </w:rPr>
      </w:pPr>
      <w:r>
        <w:rPr>
          <w:b/>
          <w:sz w:val="24"/>
        </w:rPr>
        <w:t>Lindriga allergiska symtom med normala vitalparametrar </w:t>
      </w:r>
      <w:r>
        <w:rPr>
          <w:sz w:val="24"/>
        </w:rPr>
        <w:t>(allmäntillstånd, puls,</w:t>
      </w:r>
      <w:r>
        <w:rPr>
          <w:spacing w:val="-57"/>
          <w:sz w:val="24"/>
        </w:rPr>
        <w:t> </w:t>
      </w:r>
      <w:r>
        <w:rPr>
          <w:sz w:val="24"/>
        </w:rPr>
        <w:t>blodtryck och POX); avvakta med behandling mot allergi och fortsätt observera</w:t>
      </w:r>
      <w:r>
        <w:rPr>
          <w:spacing w:val="1"/>
          <w:sz w:val="24"/>
        </w:rPr>
        <w:t> </w:t>
      </w:r>
      <w:r>
        <w:rPr>
          <w:sz w:val="24"/>
        </w:rPr>
        <w:t>patienten.</w:t>
      </w:r>
    </w:p>
    <w:p>
      <w:pPr>
        <w:pStyle w:val="ListParagraph"/>
        <w:numPr>
          <w:ilvl w:val="2"/>
          <w:numId w:val="1"/>
        </w:numPr>
        <w:tabs>
          <w:tab w:pos="2113" w:val="left" w:leader="none"/>
        </w:tabs>
        <w:spacing w:line="223" w:lineRule="auto" w:before="19" w:after="0"/>
        <w:ind w:left="2112" w:right="1722" w:hanging="360"/>
        <w:jc w:val="left"/>
        <w:rPr>
          <w:sz w:val="24"/>
        </w:rPr>
      </w:pPr>
      <w:r>
        <w:rPr>
          <w:b/>
          <w:sz w:val="24"/>
        </w:rPr>
        <w:t>Lindriga/måttliga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eller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svårbedömbara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symtom;</w:t>
      </w:r>
      <w:r>
        <w:rPr>
          <w:b/>
          <w:spacing w:val="-4"/>
          <w:sz w:val="24"/>
        </w:rPr>
        <w:t> </w:t>
      </w:r>
      <w:r>
        <w:rPr>
          <w:sz w:val="24"/>
        </w:rPr>
        <w:t>rådfråga</w:t>
      </w:r>
      <w:r>
        <w:rPr>
          <w:spacing w:val="-4"/>
          <w:sz w:val="24"/>
        </w:rPr>
        <w:t> </w:t>
      </w:r>
      <w:r>
        <w:rPr>
          <w:sz w:val="24"/>
        </w:rPr>
        <w:t>specialiserad</w:t>
      </w:r>
      <w:r>
        <w:rPr>
          <w:spacing w:val="-57"/>
          <w:sz w:val="24"/>
        </w:rPr>
        <w:t> </w:t>
      </w:r>
      <w:r>
        <w:rPr>
          <w:sz w:val="24"/>
        </w:rPr>
        <w:t>allergisjukvård</w:t>
      </w:r>
      <w:r>
        <w:rPr>
          <w:spacing w:val="-1"/>
          <w:sz w:val="24"/>
        </w:rPr>
        <w:t> </w:t>
      </w:r>
      <w:r>
        <w:rPr>
          <w:sz w:val="24"/>
        </w:rPr>
        <w:t>innan penicillinallergi</w:t>
      </w:r>
      <w:r>
        <w:rPr>
          <w:spacing w:val="-1"/>
          <w:sz w:val="24"/>
        </w:rPr>
        <w:t> </w:t>
      </w:r>
      <w:r>
        <w:rPr>
          <w:sz w:val="24"/>
        </w:rPr>
        <w:t>avskrivs/verifieras.</w:t>
      </w:r>
    </w:p>
    <w:p>
      <w:pPr>
        <w:pStyle w:val="ListParagraph"/>
        <w:numPr>
          <w:ilvl w:val="2"/>
          <w:numId w:val="1"/>
        </w:numPr>
        <w:tabs>
          <w:tab w:pos="2113" w:val="left" w:leader="none"/>
        </w:tabs>
        <w:spacing w:line="235" w:lineRule="auto" w:before="9" w:after="0"/>
        <w:ind w:left="2112" w:right="568" w:hanging="360"/>
        <w:jc w:val="left"/>
        <w:rPr>
          <w:sz w:val="24"/>
        </w:rPr>
      </w:pPr>
      <w:r>
        <w:rPr>
          <w:b/>
          <w:sz w:val="24"/>
        </w:rPr>
        <w:t>Svårare allergiska symtom </w:t>
      </w:r>
      <w:r>
        <w:rPr>
          <w:sz w:val="24"/>
        </w:rPr>
        <w:t>(snabbt uppkommen generell klåda/urtikaria,</w:t>
      </w:r>
      <w:r>
        <w:rPr>
          <w:spacing w:val="1"/>
          <w:sz w:val="24"/>
        </w:rPr>
        <w:t> </w:t>
      </w:r>
      <w:r>
        <w:rPr>
          <w:sz w:val="24"/>
        </w:rPr>
        <w:t>andningsbesvär och/eller blodtrycksfall); </w:t>
      </w:r>
      <w:r>
        <w:rPr>
          <w:i/>
          <w:sz w:val="24"/>
        </w:rPr>
        <w:t>ge akutbehandling </w:t>
      </w:r>
      <w:r>
        <w:rPr>
          <w:sz w:val="24"/>
        </w:rPr>
        <w:t>enligt rekommendation</w:t>
      </w:r>
      <w:r>
        <w:rPr>
          <w:spacing w:val="1"/>
          <w:sz w:val="24"/>
        </w:rPr>
        <w:t> </w:t>
      </w:r>
      <w:r>
        <w:rPr>
          <w:sz w:val="24"/>
        </w:rPr>
        <w:t>anafylaxi, d.v.s. adrenalin 0,3 mg i.m, desloratadin 5 mg 1-2 tabletter samt</w:t>
      </w:r>
      <w:r>
        <w:rPr>
          <w:spacing w:val="1"/>
          <w:sz w:val="24"/>
        </w:rPr>
        <w:t> </w:t>
      </w:r>
      <w:r>
        <w:rPr>
          <w:sz w:val="24"/>
        </w:rPr>
        <w:t>betametason 0,5 mg 10 tabletter. Vid andningsbesvär ges Ventoline i spray och spacer</w:t>
      </w:r>
      <w:r>
        <w:rPr>
          <w:spacing w:val="-58"/>
          <w:sz w:val="24"/>
        </w:rPr>
        <w:t> </w:t>
      </w:r>
      <w:r>
        <w:rPr>
          <w:sz w:val="24"/>
        </w:rPr>
        <w:t>(6-12</w:t>
      </w:r>
      <w:r>
        <w:rPr>
          <w:spacing w:val="-1"/>
          <w:sz w:val="24"/>
        </w:rPr>
        <w:t> </w:t>
      </w:r>
      <w:r>
        <w:rPr>
          <w:sz w:val="24"/>
        </w:rPr>
        <w:t>puffar)</w:t>
      </w:r>
      <w:r>
        <w:rPr>
          <w:spacing w:val="1"/>
          <w:sz w:val="24"/>
        </w:rPr>
        <w:t> </w:t>
      </w:r>
      <w:r>
        <w:rPr>
          <w:sz w:val="24"/>
        </w:rPr>
        <w:t>eller</w:t>
      </w:r>
      <w:r>
        <w:rPr>
          <w:spacing w:val="-1"/>
          <w:sz w:val="24"/>
        </w:rPr>
        <w:t> </w:t>
      </w:r>
      <w:r>
        <w:rPr>
          <w:sz w:val="24"/>
        </w:rPr>
        <w:t>nebulisator</w:t>
      </w:r>
      <w:r>
        <w:rPr>
          <w:spacing w:val="-1"/>
          <w:sz w:val="24"/>
        </w:rPr>
        <w:t> </w:t>
      </w:r>
      <w:r>
        <w:rPr>
          <w:sz w:val="24"/>
        </w:rPr>
        <w:t>5-10 mg.</w:t>
      </w:r>
    </w:p>
    <w:p>
      <w:pPr>
        <w:pStyle w:val="BodyText"/>
        <w:spacing w:before="5"/>
      </w:pPr>
    </w:p>
    <w:p>
      <w:pPr>
        <w:pStyle w:val="BodyText"/>
        <w:spacing w:line="244" w:lineRule="auto" w:before="1"/>
        <w:ind w:left="672" w:right="710"/>
      </w:pPr>
      <w:r>
        <w:rPr/>
        <w:t>Vid hemgång, om patienten inte fått någon reaktion under observationstiden, uppmana patienten att</w:t>
      </w:r>
      <w:r>
        <w:rPr>
          <w:spacing w:val="-57"/>
        </w:rPr>
        <w:t> </w:t>
      </w:r>
      <w:r>
        <w:rPr/>
        <w:t>höra</w:t>
      </w:r>
      <w:r>
        <w:rPr>
          <w:spacing w:val="-2"/>
        </w:rPr>
        <w:t> </w:t>
      </w:r>
      <w:r>
        <w:rPr/>
        <w:t>av sig om senare</w:t>
      </w:r>
      <w:r>
        <w:rPr>
          <w:spacing w:val="-1"/>
        </w:rPr>
        <w:t> </w:t>
      </w:r>
      <w:r>
        <w:rPr/>
        <w:t>misstänkt</w:t>
      </w:r>
      <w:r>
        <w:rPr>
          <w:spacing w:val="-1"/>
        </w:rPr>
        <w:t> </w:t>
      </w:r>
      <w:r>
        <w:rPr/>
        <w:t>allergisk reaktion</w:t>
      </w:r>
      <w:r>
        <w:rPr>
          <w:spacing w:val="2"/>
        </w:rPr>
        <w:t> </w:t>
      </w:r>
      <w:r>
        <w:rPr/>
        <w:t>kommer</w:t>
      </w:r>
      <w:r>
        <w:rPr>
          <w:spacing w:val="-1"/>
        </w:rPr>
        <w:t> </w:t>
      </w:r>
      <w:r>
        <w:rPr/>
        <w:t>inom ett</w:t>
      </w:r>
      <w:r>
        <w:rPr>
          <w:spacing w:val="-1"/>
        </w:rPr>
        <w:t> </w:t>
      </w:r>
      <w:r>
        <w:rPr/>
        <w:t>dygn.</w:t>
      </w:r>
    </w:p>
    <w:p>
      <w:pPr>
        <w:pStyle w:val="BodyText"/>
        <w:rPr>
          <w:sz w:val="26"/>
        </w:rPr>
      </w:pPr>
    </w:p>
    <w:p>
      <w:pPr>
        <w:pStyle w:val="Heading1"/>
        <w:spacing w:before="195"/>
      </w:pPr>
      <w:bookmarkStart w:name="Allmänna kommentarer" w:id="7"/>
      <w:bookmarkEnd w:id="7"/>
      <w:r>
        <w:rPr>
          <w:b w:val="0"/>
        </w:rPr>
      </w:r>
      <w:r>
        <w:rPr/>
        <w:t>Allmänna</w:t>
      </w:r>
      <w:r>
        <w:rPr>
          <w:spacing w:val="68"/>
        </w:rPr>
        <w:t> </w:t>
      </w:r>
      <w:r>
        <w:rPr/>
        <w:t>kommentarer</w:t>
      </w:r>
    </w:p>
    <w:p>
      <w:pPr>
        <w:pStyle w:val="BodyText"/>
        <w:spacing w:line="242" w:lineRule="auto" w:before="2"/>
        <w:ind w:left="672" w:right="554"/>
      </w:pPr>
      <w:r>
        <w:rPr/>
        <w:t>Reaktioner som ligger långt tillbaka tidsmässigt eller skett i barndomen medför sällan hög risk för</w:t>
      </w:r>
      <w:r>
        <w:rPr>
          <w:spacing w:val="1"/>
        </w:rPr>
        <w:t> </w:t>
      </w:r>
      <w:r>
        <w:rPr/>
        <w:t>reaktion vid provokation och provokation kan göras i primärvården. Vid osäkra anamnesuppgifter</w:t>
      </w:r>
      <w:r>
        <w:rPr>
          <w:spacing w:val="1"/>
        </w:rPr>
        <w:t> </w:t>
      </w:r>
      <w:r>
        <w:rPr/>
        <w:t>kan</w:t>
      </w:r>
      <w:r>
        <w:rPr>
          <w:spacing w:val="-2"/>
        </w:rPr>
        <w:t> </w:t>
      </w:r>
      <w:r>
        <w:rPr/>
        <w:t>man</w:t>
      </w:r>
      <w:r>
        <w:rPr>
          <w:spacing w:val="-1"/>
        </w:rPr>
        <w:t> </w:t>
      </w:r>
      <w:r>
        <w:rPr/>
        <w:t>kontrollera</w:t>
      </w:r>
      <w:r>
        <w:rPr>
          <w:spacing w:val="-3"/>
        </w:rPr>
        <w:t> </w:t>
      </w:r>
      <w:r>
        <w:rPr/>
        <w:t>specifikt</w:t>
      </w:r>
      <w:r>
        <w:rPr>
          <w:spacing w:val="-1"/>
        </w:rPr>
        <w:t> </w:t>
      </w:r>
      <w:r>
        <w:rPr/>
        <w:t>IgE</w:t>
      </w:r>
      <w:r>
        <w:rPr>
          <w:spacing w:val="-3"/>
        </w:rPr>
        <w:t> </w:t>
      </w:r>
      <w:r>
        <w:rPr/>
        <w:t>för</w:t>
      </w:r>
      <w:r>
        <w:rPr>
          <w:spacing w:val="-2"/>
        </w:rPr>
        <w:t> </w:t>
      </w:r>
      <w:r>
        <w:rPr/>
        <w:t>PcV</w:t>
      </w:r>
      <w:r>
        <w:rPr>
          <w:spacing w:val="-2"/>
        </w:rPr>
        <w:t> </w:t>
      </w:r>
      <w:r>
        <w:rPr/>
        <w:t>och</w:t>
      </w:r>
      <w:r>
        <w:rPr>
          <w:spacing w:val="-2"/>
        </w:rPr>
        <w:t> </w:t>
      </w:r>
      <w:r>
        <w:rPr/>
        <w:t>vid</w:t>
      </w:r>
      <w:r>
        <w:rPr>
          <w:spacing w:val="1"/>
        </w:rPr>
        <w:t> </w:t>
      </w:r>
      <w:r>
        <w:rPr/>
        <w:t>behov</w:t>
      </w:r>
      <w:r>
        <w:rPr>
          <w:spacing w:val="-2"/>
        </w:rPr>
        <w:t> </w:t>
      </w:r>
      <w:r>
        <w:rPr/>
        <w:t>rådgöra</w:t>
      </w:r>
      <w:r>
        <w:rPr>
          <w:spacing w:val="-2"/>
        </w:rPr>
        <w:t> </w:t>
      </w:r>
      <w:r>
        <w:rPr/>
        <w:t>med</w:t>
      </w:r>
      <w:r>
        <w:rPr>
          <w:spacing w:val="-2"/>
        </w:rPr>
        <w:t> </w:t>
      </w:r>
      <w:r>
        <w:rPr/>
        <w:t>specialiserad</w:t>
      </w:r>
      <w:r>
        <w:rPr>
          <w:spacing w:val="-1"/>
        </w:rPr>
        <w:t> </w:t>
      </w:r>
      <w:r>
        <w:rPr/>
        <w:t>allergisjukvård</w:t>
      </w:r>
      <w:r>
        <w:rPr>
          <w:spacing w:val="-57"/>
        </w:rPr>
        <w:t> </w:t>
      </w:r>
      <w:r>
        <w:rPr/>
        <w:t>t.ex.</w:t>
      </w:r>
      <w:r>
        <w:rPr>
          <w:spacing w:val="-1"/>
        </w:rPr>
        <w:t> </w:t>
      </w:r>
      <w:r>
        <w:rPr/>
        <w:t>genom frågeremiss innan provokation utförs.</w:t>
      </w: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22"/>
        </w:rPr>
      </w:pPr>
    </w:p>
    <w:p>
      <w:pPr>
        <w:spacing w:before="0"/>
        <w:ind w:left="672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Referenser</w:t>
      </w:r>
    </w:p>
    <w:p>
      <w:pPr>
        <w:pStyle w:val="ListParagraph"/>
        <w:numPr>
          <w:ilvl w:val="0"/>
          <w:numId w:val="2"/>
        </w:numPr>
        <w:tabs>
          <w:tab w:pos="875" w:val="left" w:leader="none"/>
        </w:tabs>
        <w:spacing w:line="292" w:lineRule="auto" w:before="52" w:after="0"/>
        <w:ind w:left="672" w:right="1583" w:firstLine="0"/>
        <w:jc w:val="left"/>
        <w:rPr>
          <w:sz w:val="20"/>
        </w:rPr>
      </w:pPr>
      <w:r>
        <w:rPr>
          <w:sz w:val="20"/>
        </w:rPr>
        <w:t>Eriksson M, Pullerits T. Utredning av penicillinreaktioner på specialistmottagningen – hur vanligt är typ 1</w:t>
      </w:r>
      <w:r>
        <w:rPr>
          <w:spacing w:val="-47"/>
          <w:sz w:val="20"/>
        </w:rPr>
        <w:t> </w:t>
      </w:r>
      <w:r>
        <w:rPr>
          <w:sz w:val="20"/>
        </w:rPr>
        <w:t>överkänslighet?</w:t>
      </w:r>
      <w:r>
        <w:rPr>
          <w:spacing w:val="-3"/>
          <w:sz w:val="20"/>
        </w:rPr>
        <w:t> </w:t>
      </w:r>
      <w:r>
        <w:rPr>
          <w:sz w:val="20"/>
        </w:rPr>
        <w:t>Läkarstämman</w:t>
      </w:r>
      <w:r>
        <w:rPr>
          <w:spacing w:val="-2"/>
          <w:sz w:val="20"/>
        </w:rPr>
        <w:t> </w:t>
      </w:r>
      <w:r>
        <w:rPr>
          <w:sz w:val="20"/>
        </w:rPr>
        <w:t>Stockholm,</w:t>
      </w:r>
      <w:r>
        <w:rPr>
          <w:spacing w:val="-1"/>
          <w:sz w:val="20"/>
        </w:rPr>
        <w:t> </w:t>
      </w:r>
      <w:r>
        <w:rPr>
          <w:sz w:val="20"/>
        </w:rPr>
        <w:t>Allergisektionen,</w:t>
      </w:r>
      <w:r>
        <w:rPr>
          <w:spacing w:val="-2"/>
          <w:sz w:val="20"/>
        </w:rPr>
        <w:t> </w:t>
      </w:r>
      <w:r>
        <w:rPr>
          <w:sz w:val="20"/>
        </w:rPr>
        <w:t>Sahlgrenska</w:t>
      </w:r>
      <w:r>
        <w:rPr>
          <w:spacing w:val="-2"/>
          <w:sz w:val="20"/>
        </w:rPr>
        <w:t> </w:t>
      </w:r>
      <w:r>
        <w:rPr>
          <w:sz w:val="20"/>
        </w:rPr>
        <w:t>Universitetssjukhuset,</w:t>
      </w:r>
      <w:r>
        <w:rPr>
          <w:spacing w:val="-2"/>
          <w:sz w:val="20"/>
        </w:rPr>
        <w:t> </w:t>
      </w:r>
      <w:r>
        <w:rPr>
          <w:sz w:val="20"/>
        </w:rPr>
        <w:t>2012</w:t>
      </w:r>
    </w:p>
    <w:p>
      <w:pPr>
        <w:pStyle w:val="ListParagraph"/>
        <w:numPr>
          <w:ilvl w:val="0"/>
          <w:numId w:val="2"/>
        </w:numPr>
        <w:tabs>
          <w:tab w:pos="875" w:val="left" w:leader="none"/>
        </w:tabs>
        <w:spacing w:line="228" w:lineRule="exact" w:before="0" w:after="0"/>
        <w:ind w:left="874" w:right="0" w:hanging="203"/>
        <w:jc w:val="left"/>
        <w:rPr>
          <w:sz w:val="20"/>
        </w:rPr>
      </w:pPr>
      <w:r>
        <w:rPr>
          <w:sz w:val="20"/>
        </w:rPr>
        <w:t>Janusinfo</w:t>
      </w:r>
      <w:r>
        <w:rPr>
          <w:spacing w:val="-3"/>
          <w:sz w:val="20"/>
        </w:rPr>
        <w:t> </w:t>
      </w:r>
      <w:r>
        <w:rPr>
          <w:sz w:val="20"/>
        </w:rPr>
        <w:t>Region</w:t>
      </w:r>
      <w:r>
        <w:rPr>
          <w:spacing w:val="-3"/>
          <w:sz w:val="20"/>
        </w:rPr>
        <w:t> </w:t>
      </w:r>
      <w:r>
        <w:rPr>
          <w:sz w:val="20"/>
        </w:rPr>
        <w:t>Stockholm.</w:t>
      </w:r>
      <w:r>
        <w:rPr>
          <w:spacing w:val="-3"/>
          <w:sz w:val="20"/>
        </w:rPr>
        <w:t> </w:t>
      </w:r>
      <w:r>
        <w:rPr>
          <w:sz w:val="20"/>
        </w:rPr>
        <w:t>Penicillinallergi</w:t>
      </w:r>
      <w:r>
        <w:rPr>
          <w:spacing w:val="-4"/>
          <w:sz w:val="20"/>
        </w:rPr>
        <w:t> </w:t>
      </w:r>
      <w:r>
        <w:rPr>
          <w:sz w:val="20"/>
        </w:rPr>
        <w:t>och</w:t>
      </w:r>
      <w:r>
        <w:rPr>
          <w:spacing w:val="-3"/>
          <w:sz w:val="20"/>
        </w:rPr>
        <w:t> </w:t>
      </w:r>
      <w:r>
        <w:rPr>
          <w:sz w:val="20"/>
        </w:rPr>
        <w:t>andra</w:t>
      </w:r>
      <w:r>
        <w:rPr>
          <w:spacing w:val="-6"/>
          <w:sz w:val="20"/>
        </w:rPr>
        <w:t> </w:t>
      </w:r>
      <w:r>
        <w:rPr>
          <w:sz w:val="20"/>
        </w:rPr>
        <w:t>reaktioner</w:t>
      </w:r>
      <w:r>
        <w:rPr>
          <w:spacing w:val="-5"/>
          <w:sz w:val="20"/>
        </w:rPr>
        <w:t> </w:t>
      </w:r>
      <w:r>
        <w:rPr>
          <w:sz w:val="20"/>
        </w:rPr>
        <w:t>på</w:t>
      </w:r>
      <w:r>
        <w:rPr>
          <w:spacing w:val="-4"/>
          <w:sz w:val="20"/>
        </w:rPr>
        <w:t> </w:t>
      </w:r>
      <w:r>
        <w:rPr>
          <w:sz w:val="20"/>
        </w:rPr>
        <w:t>antibiotika.</w:t>
      </w:r>
    </w:p>
    <w:p>
      <w:pPr>
        <w:pStyle w:val="ListParagraph"/>
        <w:numPr>
          <w:ilvl w:val="0"/>
          <w:numId w:val="2"/>
        </w:numPr>
        <w:tabs>
          <w:tab w:pos="875" w:val="left" w:leader="none"/>
        </w:tabs>
        <w:spacing w:line="240" w:lineRule="auto" w:before="50" w:after="0"/>
        <w:ind w:left="874" w:right="0" w:hanging="203"/>
        <w:jc w:val="left"/>
        <w:rPr>
          <w:sz w:val="20"/>
        </w:rPr>
      </w:pPr>
      <w:r>
        <w:rPr>
          <w:sz w:val="20"/>
        </w:rPr>
        <w:t>Penicillinallergi</w:t>
      </w:r>
      <w:r>
        <w:rPr>
          <w:spacing w:val="-5"/>
          <w:sz w:val="20"/>
        </w:rPr>
        <w:t> </w:t>
      </w:r>
      <w:r>
        <w:rPr>
          <w:sz w:val="20"/>
        </w:rPr>
        <w:t>Region</w:t>
      </w:r>
      <w:r>
        <w:rPr>
          <w:spacing w:val="-4"/>
          <w:sz w:val="20"/>
        </w:rPr>
        <w:t> </w:t>
      </w:r>
      <w:r>
        <w:rPr>
          <w:sz w:val="20"/>
        </w:rPr>
        <w:t>Skåne-</w:t>
      </w:r>
      <w:r>
        <w:rPr>
          <w:spacing w:val="-3"/>
          <w:sz w:val="20"/>
        </w:rPr>
        <w:t> </w:t>
      </w:r>
      <w:r>
        <w:rPr>
          <w:sz w:val="20"/>
        </w:rPr>
        <w:t>riktlinje</w:t>
      </w:r>
      <w:r>
        <w:rPr>
          <w:spacing w:val="-5"/>
          <w:sz w:val="20"/>
        </w:rPr>
        <w:t> </w:t>
      </w:r>
      <w:r>
        <w:rPr>
          <w:sz w:val="20"/>
        </w:rPr>
        <w:t>för</w:t>
      </w:r>
      <w:r>
        <w:rPr>
          <w:spacing w:val="-4"/>
          <w:sz w:val="20"/>
        </w:rPr>
        <w:t> </w:t>
      </w:r>
      <w:r>
        <w:rPr>
          <w:sz w:val="20"/>
        </w:rPr>
        <w:t>primärvården</w:t>
      </w:r>
      <w:r>
        <w:rPr>
          <w:spacing w:val="-5"/>
          <w:sz w:val="20"/>
        </w:rPr>
        <w:t> </w:t>
      </w:r>
      <w:r>
        <w:rPr>
          <w:sz w:val="20"/>
        </w:rPr>
        <w:t>utifrån</w:t>
      </w:r>
      <w:r>
        <w:rPr>
          <w:spacing w:val="-4"/>
          <w:sz w:val="20"/>
        </w:rPr>
        <w:t> </w:t>
      </w:r>
      <w:r>
        <w:rPr>
          <w:sz w:val="20"/>
        </w:rPr>
        <w:t>nationellt</w:t>
      </w:r>
      <w:r>
        <w:rPr>
          <w:spacing w:val="-4"/>
          <w:sz w:val="20"/>
        </w:rPr>
        <w:t> </w:t>
      </w:r>
      <w:r>
        <w:rPr>
          <w:sz w:val="20"/>
        </w:rPr>
        <w:t>kliniskt</w:t>
      </w:r>
      <w:r>
        <w:rPr>
          <w:spacing w:val="-5"/>
          <w:sz w:val="20"/>
        </w:rPr>
        <w:t> </w:t>
      </w:r>
      <w:r>
        <w:rPr>
          <w:sz w:val="20"/>
        </w:rPr>
        <w:t>kunskapsstöd</w:t>
      </w:r>
    </w:p>
    <w:p>
      <w:pPr>
        <w:pStyle w:val="BodyText"/>
        <w:rPr>
          <w:sz w:val="25"/>
        </w:rPr>
      </w:pPr>
    </w:p>
    <w:p>
      <w:pPr>
        <w:pStyle w:val="BodyText"/>
        <w:ind w:left="672" w:right="824"/>
      </w:pPr>
      <w:r>
        <w:rPr/>
        <w:t>Dokumentet är framtaget i samarbete mellan Terapigrupp Allergi-Andning-ÖNH och Terapigrupp</w:t>
      </w:r>
      <w:r>
        <w:rPr>
          <w:spacing w:val="-58"/>
        </w:rPr>
        <w:t> </w:t>
      </w:r>
      <w:r>
        <w:rPr/>
        <w:t>Infektion.</w:t>
      </w:r>
    </w:p>
    <w:sectPr>
      <w:footerReference w:type="default" r:id="rId8"/>
      <w:pgSz w:w="11900" w:h="16850"/>
      <w:pgMar w:footer="968" w:header="0" w:top="960" w:bottom="1160" w:left="460" w:right="4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ourier New">
    <w:altName w:val="Courier New"/>
    <w:charset w:val="0"/>
    <w:family w:val="modern"/>
    <w:pitch w:val="fixed"/>
  </w:font>
  <w:font w:name="Symbol">
    <w:altName w:val="Symbol"/>
    <w:charset w:val="2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487525376">
          <wp:simplePos x="0" y="0"/>
          <wp:positionH relativeFrom="page">
            <wp:posOffset>360046</wp:posOffset>
          </wp:positionH>
          <wp:positionV relativeFrom="page">
            <wp:posOffset>9901554</wp:posOffset>
          </wp:positionV>
          <wp:extent cx="6810881" cy="111123"/>
          <wp:effectExtent l="0" t="0" r="0" b="0"/>
          <wp:wrapNone/>
          <wp:docPr id="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810881" cy="11112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20.600006pt;margin-top:794.943481pt;width:225.9pt;height:13.15pt;mso-position-horizontal-relative:page;mso-position-vertical-relative:page;z-index:-15790592" type="#_x0000_t202" id="docshape1" filled="false" stroked="false">
          <v:textbox inset="0,0,0,0">
            <w:txbxContent>
              <w:p>
                <w:pPr>
                  <w:spacing w:before="12"/>
                  <w:ind w:left="20" w:right="0" w:firstLine="0"/>
                  <w:jc w:val="left"/>
                  <w:rPr>
                    <w:rFonts w:ascii="Arial" w:hAnsi="Arial"/>
                    <w:sz w:val="20"/>
                  </w:rPr>
                </w:pPr>
                <w:r>
                  <w:rPr>
                    <w:rFonts w:ascii="Arial" w:hAnsi="Arial"/>
                    <w:sz w:val="20"/>
                  </w:rPr>
                  <w:t>Läkemedelskommittén</w:t>
                </w:r>
                <w:r>
                  <w:rPr>
                    <w:rFonts w:ascii="Arial" w:hAnsi="Arial"/>
                    <w:spacing w:val="-7"/>
                    <w:sz w:val="20"/>
                  </w:rPr>
                  <w:t> </w:t>
                </w:r>
                <w:r>
                  <w:rPr>
                    <w:rFonts w:ascii="Arial" w:hAnsi="Arial"/>
                    <w:sz w:val="20"/>
                  </w:rPr>
                  <w:t>i</w:t>
                </w:r>
                <w:r>
                  <w:rPr>
                    <w:rFonts w:ascii="Arial" w:hAnsi="Arial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sz w:val="20"/>
                  </w:rPr>
                  <w:t>Västra</w:t>
                </w:r>
                <w:r>
                  <w:rPr>
                    <w:rFonts w:ascii="Arial" w:hAnsi="Arial"/>
                    <w:spacing w:val="-7"/>
                    <w:sz w:val="20"/>
                  </w:rPr>
                  <w:t> </w:t>
                </w:r>
                <w:r>
                  <w:rPr>
                    <w:rFonts w:ascii="Arial" w:hAnsi="Arial"/>
                    <w:sz w:val="20"/>
                  </w:rPr>
                  <w:t>Götalandsregionen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487526400">
          <wp:simplePos x="0" y="0"/>
          <wp:positionH relativeFrom="page">
            <wp:posOffset>360046</wp:posOffset>
          </wp:positionH>
          <wp:positionV relativeFrom="page">
            <wp:posOffset>9901554</wp:posOffset>
          </wp:positionV>
          <wp:extent cx="6810881" cy="111123"/>
          <wp:effectExtent l="0" t="0" r="0" b="0"/>
          <wp:wrapNone/>
          <wp:docPr id="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810881" cy="11112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55.639999pt;margin-top:794.943481pt;width:7.55pt;height:13.15pt;mso-position-horizontal-relative:page;mso-position-vertical-relative:page;z-index:-15789568" type="#_x0000_t202" id="docshape6" filled="false" stroked="false">
          <v:textbox inset="0,0,0,0">
            <w:txbxContent>
              <w:p>
                <w:pPr>
                  <w:spacing w:before="12"/>
                  <w:ind w:left="20" w:right="0" w:firstLine="0"/>
                  <w:jc w:val="left"/>
                  <w:rPr>
                    <w:rFonts w:ascii="Arial"/>
                    <w:sz w:val="20"/>
                  </w:rPr>
                </w:pPr>
                <w:r>
                  <w:rPr>
                    <w:rFonts w:ascii="Arial"/>
                    <w:w w:val="99"/>
                    <w:sz w:val="20"/>
                  </w:rPr>
                  <w:t>2</w:t>
                </w:r>
              </w:p>
            </w:txbxContent>
          </v:textbox>
          <w10:wrap type="none"/>
        </v:shape>
      </w:pict>
    </w:r>
    <w:r>
      <w:rPr/>
      <w:pict>
        <v:shape style="position:absolute;margin-left:316.392792pt;margin-top:794.943481pt;width:225.9pt;height:13.15pt;mso-position-horizontal-relative:page;mso-position-vertical-relative:page;z-index:-15789056" type="#_x0000_t202" id="docshape7" filled="false" stroked="false">
          <v:textbox inset="0,0,0,0">
            <w:txbxContent>
              <w:p>
                <w:pPr>
                  <w:spacing w:before="12"/>
                  <w:ind w:left="20" w:right="0" w:firstLine="0"/>
                  <w:jc w:val="left"/>
                  <w:rPr>
                    <w:rFonts w:ascii="Arial" w:hAnsi="Arial"/>
                    <w:sz w:val="20"/>
                  </w:rPr>
                </w:pPr>
                <w:r>
                  <w:rPr>
                    <w:rFonts w:ascii="Arial" w:hAnsi="Arial"/>
                    <w:sz w:val="20"/>
                  </w:rPr>
                  <w:t>Läkemedelskommittén</w:t>
                </w:r>
                <w:r>
                  <w:rPr>
                    <w:rFonts w:ascii="Arial" w:hAnsi="Arial"/>
                    <w:spacing w:val="-7"/>
                    <w:sz w:val="20"/>
                  </w:rPr>
                  <w:t> </w:t>
                </w:r>
                <w:r>
                  <w:rPr>
                    <w:rFonts w:ascii="Arial" w:hAnsi="Arial"/>
                    <w:sz w:val="20"/>
                  </w:rPr>
                  <w:t>i</w:t>
                </w:r>
                <w:r>
                  <w:rPr>
                    <w:rFonts w:ascii="Arial" w:hAnsi="Arial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sz w:val="20"/>
                  </w:rPr>
                  <w:t>Västra</w:t>
                </w:r>
                <w:r>
                  <w:rPr>
                    <w:rFonts w:ascii="Arial" w:hAnsi="Arial"/>
                    <w:spacing w:val="-7"/>
                    <w:sz w:val="20"/>
                  </w:rPr>
                  <w:t> </w:t>
                </w:r>
                <w:r>
                  <w:rPr>
                    <w:rFonts w:ascii="Arial" w:hAnsi="Arial"/>
                    <w:sz w:val="20"/>
                  </w:rPr>
                  <w:t>Götalandsregionen</w:t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decimal"/>
      <w:lvlText w:val="%1."/>
      <w:lvlJc w:val="left"/>
      <w:pPr>
        <w:ind w:left="672" w:hanging="202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99"/>
        <w:sz w:val="20"/>
        <w:szCs w:val="20"/>
        <w:lang w:val="sv-SE" w:eastAsia="en-US" w:bidi="ar-SA"/>
      </w:rPr>
    </w:lvl>
    <w:lvl w:ilvl="1">
      <w:start w:val="0"/>
      <w:numFmt w:val="bullet"/>
      <w:lvlText w:val="•"/>
      <w:lvlJc w:val="left"/>
      <w:pPr>
        <w:ind w:left="1707" w:hanging="202"/>
      </w:pPr>
      <w:rPr>
        <w:rFonts w:hint="default"/>
        <w:lang w:val="sv-SE" w:eastAsia="en-US" w:bidi="ar-SA"/>
      </w:rPr>
    </w:lvl>
    <w:lvl w:ilvl="2">
      <w:start w:val="0"/>
      <w:numFmt w:val="bullet"/>
      <w:lvlText w:val="•"/>
      <w:lvlJc w:val="left"/>
      <w:pPr>
        <w:ind w:left="2735" w:hanging="202"/>
      </w:pPr>
      <w:rPr>
        <w:rFonts w:hint="default"/>
        <w:lang w:val="sv-SE" w:eastAsia="en-US" w:bidi="ar-SA"/>
      </w:rPr>
    </w:lvl>
    <w:lvl w:ilvl="3">
      <w:start w:val="0"/>
      <w:numFmt w:val="bullet"/>
      <w:lvlText w:val="•"/>
      <w:lvlJc w:val="left"/>
      <w:pPr>
        <w:ind w:left="3763" w:hanging="202"/>
      </w:pPr>
      <w:rPr>
        <w:rFonts w:hint="default"/>
        <w:lang w:val="sv-SE" w:eastAsia="en-US" w:bidi="ar-SA"/>
      </w:rPr>
    </w:lvl>
    <w:lvl w:ilvl="4">
      <w:start w:val="0"/>
      <w:numFmt w:val="bullet"/>
      <w:lvlText w:val="•"/>
      <w:lvlJc w:val="left"/>
      <w:pPr>
        <w:ind w:left="4791" w:hanging="202"/>
      </w:pPr>
      <w:rPr>
        <w:rFonts w:hint="default"/>
        <w:lang w:val="sv-SE" w:eastAsia="en-US" w:bidi="ar-SA"/>
      </w:rPr>
    </w:lvl>
    <w:lvl w:ilvl="5">
      <w:start w:val="0"/>
      <w:numFmt w:val="bullet"/>
      <w:lvlText w:val="•"/>
      <w:lvlJc w:val="left"/>
      <w:pPr>
        <w:ind w:left="5819" w:hanging="202"/>
      </w:pPr>
      <w:rPr>
        <w:rFonts w:hint="default"/>
        <w:lang w:val="sv-SE" w:eastAsia="en-US" w:bidi="ar-SA"/>
      </w:rPr>
    </w:lvl>
    <w:lvl w:ilvl="6">
      <w:start w:val="0"/>
      <w:numFmt w:val="bullet"/>
      <w:lvlText w:val="•"/>
      <w:lvlJc w:val="left"/>
      <w:pPr>
        <w:ind w:left="6847" w:hanging="202"/>
      </w:pPr>
      <w:rPr>
        <w:rFonts w:hint="default"/>
        <w:lang w:val="sv-SE" w:eastAsia="en-US" w:bidi="ar-SA"/>
      </w:rPr>
    </w:lvl>
    <w:lvl w:ilvl="7">
      <w:start w:val="0"/>
      <w:numFmt w:val="bullet"/>
      <w:lvlText w:val="•"/>
      <w:lvlJc w:val="left"/>
      <w:pPr>
        <w:ind w:left="7875" w:hanging="202"/>
      </w:pPr>
      <w:rPr>
        <w:rFonts w:hint="default"/>
        <w:lang w:val="sv-SE" w:eastAsia="en-US" w:bidi="ar-SA"/>
      </w:rPr>
    </w:lvl>
    <w:lvl w:ilvl="8">
      <w:start w:val="0"/>
      <w:numFmt w:val="bullet"/>
      <w:lvlText w:val="•"/>
      <w:lvlJc w:val="left"/>
      <w:pPr>
        <w:ind w:left="8903" w:hanging="202"/>
      </w:pPr>
      <w:rPr>
        <w:rFonts w:hint="default"/>
        <w:lang w:val="sv-SE" w:eastAsia="en-US" w:bidi="ar-SA"/>
      </w:rPr>
    </w:lvl>
  </w:abstractNum>
  <w:abstractNum w:abstractNumId="0">
    <w:multiLevelType w:val="hybridMultilevel"/>
    <w:lvl w:ilvl="0">
      <w:start w:val="1"/>
      <w:numFmt w:val="upperLetter"/>
      <w:lvlText w:val="%1."/>
      <w:lvlJc w:val="left"/>
      <w:pPr>
        <w:ind w:left="965" w:hanging="293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-1"/>
        <w:w w:val="100"/>
        <w:sz w:val="24"/>
        <w:szCs w:val="24"/>
        <w:lang w:val="sv-SE" w:eastAsia="en-US" w:bidi="ar-SA"/>
      </w:rPr>
    </w:lvl>
    <w:lvl w:ilvl="1">
      <w:start w:val="0"/>
      <w:numFmt w:val="bullet"/>
      <w:lvlText w:val=""/>
      <w:lvlJc w:val="left"/>
      <w:pPr>
        <w:ind w:left="1392" w:hanging="360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4"/>
        <w:szCs w:val="24"/>
        <w:lang w:val="sv-SE" w:eastAsia="en-US" w:bidi="ar-SA"/>
      </w:rPr>
    </w:lvl>
    <w:lvl w:ilvl="2">
      <w:start w:val="0"/>
      <w:numFmt w:val="bullet"/>
      <w:lvlText w:val="o"/>
      <w:lvlJc w:val="left"/>
      <w:pPr>
        <w:ind w:left="2112" w:hanging="360"/>
      </w:pPr>
      <w:rPr>
        <w:rFonts w:hint="default" w:ascii="Courier New" w:hAnsi="Courier New" w:eastAsia="Courier New" w:cs="Courier New"/>
        <w:b w:val="0"/>
        <w:bCs w:val="0"/>
        <w:i w:val="0"/>
        <w:iCs w:val="0"/>
        <w:w w:val="100"/>
        <w:sz w:val="24"/>
        <w:szCs w:val="24"/>
        <w:lang w:val="sv-SE" w:eastAsia="en-US" w:bidi="ar-SA"/>
      </w:rPr>
    </w:lvl>
    <w:lvl w:ilvl="3">
      <w:start w:val="0"/>
      <w:numFmt w:val="bullet"/>
      <w:lvlText w:val="•"/>
      <w:lvlJc w:val="left"/>
      <w:pPr>
        <w:ind w:left="3224" w:hanging="360"/>
      </w:pPr>
      <w:rPr>
        <w:rFonts w:hint="default"/>
        <w:lang w:val="sv-SE" w:eastAsia="en-US" w:bidi="ar-SA"/>
      </w:rPr>
    </w:lvl>
    <w:lvl w:ilvl="4">
      <w:start w:val="0"/>
      <w:numFmt w:val="bullet"/>
      <w:lvlText w:val="•"/>
      <w:lvlJc w:val="left"/>
      <w:pPr>
        <w:ind w:left="4329" w:hanging="360"/>
      </w:pPr>
      <w:rPr>
        <w:rFonts w:hint="default"/>
        <w:lang w:val="sv-SE" w:eastAsia="en-US" w:bidi="ar-SA"/>
      </w:rPr>
    </w:lvl>
    <w:lvl w:ilvl="5">
      <w:start w:val="0"/>
      <w:numFmt w:val="bullet"/>
      <w:lvlText w:val="•"/>
      <w:lvlJc w:val="left"/>
      <w:pPr>
        <w:ind w:left="5434" w:hanging="360"/>
      </w:pPr>
      <w:rPr>
        <w:rFonts w:hint="default"/>
        <w:lang w:val="sv-SE" w:eastAsia="en-US" w:bidi="ar-SA"/>
      </w:rPr>
    </w:lvl>
    <w:lvl w:ilvl="6">
      <w:start w:val="0"/>
      <w:numFmt w:val="bullet"/>
      <w:lvlText w:val="•"/>
      <w:lvlJc w:val="left"/>
      <w:pPr>
        <w:ind w:left="6539" w:hanging="360"/>
      </w:pPr>
      <w:rPr>
        <w:rFonts w:hint="default"/>
        <w:lang w:val="sv-SE" w:eastAsia="en-US" w:bidi="ar-SA"/>
      </w:rPr>
    </w:lvl>
    <w:lvl w:ilvl="7">
      <w:start w:val="0"/>
      <w:numFmt w:val="bullet"/>
      <w:lvlText w:val="•"/>
      <w:lvlJc w:val="left"/>
      <w:pPr>
        <w:ind w:left="7644" w:hanging="360"/>
      </w:pPr>
      <w:rPr>
        <w:rFonts w:hint="default"/>
        <w:lang w:val="sv-SE" w:eastAsia="en-US" w:bidi="ar-SA"/>
      </w:rPr>
    </w:lvl>
    <w:lvl w:ilvl="8">
      <w:start w:val="0"/>
      <w:numFmt w:val="bullet"/>
      <w:lvlText w:val="•"/>
      <w:lvlJc w:val="left"/>
      <w:pPr>
        <w:ind w:left="8749" w:hanging="360"/>
      </w:pPr>
      <w:rPr>
        <w:rFonts w:hint="default"/>
        <w:lang w:val="sv-SE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sv-SE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sv-SE" w:eastAsia="en-US" w:bidi="ar-SA"/>
    </w:rPr>
  </w:style>
  <w:style w:styleId="Heading1" w:type="paragraph">
    <w:name w:val="Heading 1"/>
    <w:basedOn w:val="Normal"/>
    <w:uiPriority w:val="1"/>
    <w:qFormat/>
    <w:pPr>
      <w:spacing w:before="79"/>
      <w:ind w:left="672"/>
      <w:outlineLvl w:val="1"/>
    </w:pPr>
    <w:rPr>
      <w:rFonts w:ascii="Arial" w:hAnsi="Arial" w:eastAsia="Arial" w:cs="Arial"/>
      <w:b/>
      <w:bCs/>
      <w:sz w:val="26"/>
      <w:szCs w:val="26"/>
      <w:lang w:val="sv-SE" w:eastAsia="en-US" w:bidi="ar-SA"/>
    </w:rPr>
  </w:style>
  <w:style w:styleId="Heading2" w:type="paragraph">
    <w:name w:val="Heading 2"/>
    <w:basedOn w:val="Normal"/>
    <w:uiPriority w:val="1"/>
    <w:qFormat/>
    <w:pPr>
      <w:spacing w:before="1"/>
      <w:ind w:left="965" w:hanging="294"/>
      <w:outlineLvl w:val="2"/>
    </w:pPr>
    <w:rPr>
      <w:rFonts w:ascii="Times New Roman" w:hAnsi="Times New Roman" w:eastAsia="Times New Roman" w:cs="Times New Roman"/>
      <w:b/>
      <w:bCs/>
      <w:sz w:val="24"/>
      <w:szCs w:val="24"/>
      <w:lang w:val="sv-SE" w:eastAsia="en-US" w:bidi="ar-SA"/>
    </w:rPr>
  </w:style>
  <w:style w:styleId="ListParagraph" w:type="paragraph">
    <w:name w:val="List Paragraph"/>
    <w:basedOn w:val="Normal"/>
    <w:uiPriority w:val="1"/>
    <w:qFormat/>
    <w:pPr>
      <w:ind w:left="2112" w:hanging="360"/>
    </w:pPr>
    <w:rPr>
      <w:rFonts w:ascii="Times New Roman" w:hAnsi="Times New Roman" w:eastAsia="Times New Roman" w:cs="Times New Roman"/>
      <w:lang w:val="sv-SE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sv-SE" w:eastAsia="en-US" w:bidi="ar-SA"/>
    </w:r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2.xml" Id="rId8" /><Relationship Type="http://schemas.openxmlformats.org/officeDocument/2006/relationships/theme" Target="theme/theme1.xml" Id="rId3" /><Relationship Type="http://schemas.openxmlformats.org/officeDocument/2006/relationships/image" Target="media/image3.png" Id="rId7" /><Relationship Type="http://schemas.openxmlformats.org/officeDocument/2006/relationships/fontTable" Target="fontTable.xml" Id="rId2" /><Relationship Type="http://schemas.openxmlformats.org/officeDocument/2006/relationships/styles" Target="styles.xml" Id="rId1" /><Relationship Type="http://schemas.openxmlformats.org/officeDocument/2006/relationships/image" Target="media/image2.jpeg" Id="rId6" /><Relationship Type="http://schemas.openxmlformats.org/officeDocument/2006/relationships/footer" Target="footer1.xml" Id="rId5" /><Relationship Type="http://schemas.openxmlformats.org/officeDocument/2006/relationships/settings" Target="settings.xml" Id="rId4" /><Relationship Type="http://schemas.openxmlformats.org/officeDocument/2006/relationships/numbering" Target="numbering.xml" Id="rId9" /></Relationships>
</file>

<file path=word/_rels/footer1.xml.rels><?xml version="1.0" encoding="UTF-8"?>

<Relationships xmlns="http://schemas.openxmlformats.org/package/2006/relationships">
  <Relationship Id="rId1" Type="http://schemas.openxmlformats.org/officeDocument/2006/relationships/image" Target="media/image1.png"/>
</Relationships>

</file>

<file path=word/_rels/footer2.xml.rels><?xml version="1.0" encoding="UTF-8"?>

<Relationships xmlns="http://schemas.openxmlformats.org/package/2006/relationships">
  <Relationship Id="rId1" Type="http://schemas.openxmlformats.org/officeDocument/2006/relationships/image" Target="media/image1.png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2021-09-14 Terapiråd misstänkt penicillinallergi vuxna primärvård</dc:title>
  <dc:creator>emma.lindhardt@vgregion.se</dc:creator>
  <keywords/>
  <dcterms:created xsi:type="dcterms:W3CDTF">2022-02-05T14:57:53.0000000Z</dcterms:created>
  <dcterms:modified xsi:type="dcterms:W3CDTF">2022-02-05T14:57:53.0000000Z</dcterms:modified>
</coreProperties>
</file>